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87F30" w:rsidRDefault="00ED1F13">
      <w:pPr>
        <w:pStyle w:val="Title"/>
        <w:ind w:right="256"/>
      </w:pPr>
      <w:bookmarkStart w:id="0" w:name="_6rkq9rd6grf7" w:colFirst="0" w:colLast="0"/>
      <w:bookmarkEnd w:id="0"/>
      <w:r>
        <w:t xml:space="preserve">Genetics and biochemistry for OMICs: </w:t>
      </w:r>
    </w:p>
    <w:p w:rsidR="00AD3A65" w:rsidRDefault="00A87F30">
      <w:pPr>
        <w:pStyle w:val="Title"/>
        <w:ind w:right="256"/>
        <w:rPr>
          <w:color w:val="666666"/>
        </w:rPr>
      </w:pPr>
      <w:r>
        <w:rPr>
          <w:color w:val="666666"/>
        </w:rPr>
        <w:t>cheat sheet</w:t>
      </w:r>
    </w:p>
    <w:p w:rsidR="00AD3A65" w:rsidRDefault="00AD3A65">
      <w:pPr>
        <w:pBdr>
          <w:top w:val="nil"/>
          <w:left w:val="nil"/>
          <w:bottom w:val="nil"/>
          <w:right w:val="nil"/>
          <w:between w:val="nil"/>
        </w:pBdr>
        <w:ind w:right="5783"/>
      </w:pPr>
    </w:p>
    <w:p w:rsidR="00AD3A65" w:rsidRDefault="00ED1F13">
      <w:pPr>
        <w:pBdr>
          <w:top w:val="nil"/>
          <w:left w:val="nil"/>
          <w:bottom w:val="nil"/>
          <w:right w:val="nil"/>
          <w:between w:val="nil"/>
        </w:pBdr>
        <w:ind w:right="5783"/>
      </w:pPr>
      <w:r>
        <w:t>This document is for people who are studying OMICs in a computational, big-data context and who haven’t got a background in biology or genetics. It is intended to explain some key concepts, and how those concepts link to OMICs, in a basic way, to give you the minimum viable amount of understanding to start working with OMICs data.</w:t>
      </w:r>
    </w:p>
    <w:p w:rsidR="00AD3A65" w:rsidRDefault="00ED1F13">
      <w:pPr>
        <w:pStyle w:val="Heading1"/>
        <w:ind w:right="5783"/>
      </w:pPr>
      <w:bookmarkStart w:id="1" w:name="_pbrd4ci47kz6" w:colFirst="0" w:colLast="0"/>
      <w:bookmarkEnd w:id="1"/>
      <w:r>
        <w:t>The ‘central dogma of molecular biology’</w:t>
      </w:r>
      <w:r>
        <w:rPr>
          <w:noProof/>
        </w:rPr>
        <w:drawing>
          <wp:anchor distT="114300" distB="114300" distL="114300" distR="114300" simplePos="0" relativeHeight="251658240" behindDoc="0" locked="0" layoutInCell="1" hidden="0" allowOverlap="1">
            <wp:simplePos x="0" y="0"/>
            <wp:positionH relativeFrom="column">
              <wp:posOffset>6962775</wp:posOffset>
            </wp:positionH>
            <wp:positionV relativeFrom="paragraph">
              <wp:posOffset>571500</wp:posOffset>
            </wp:positionV>
            <wp:extent cx="3057525" cy="807825"/>
            <wp:effectExtent l="0" t="0" r="0" b="0"/>
            <wp:wrapSquare wrapText="bothSides" distT="114300" distB="114300" distL="114300" distR="11430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t="21131" b="31939"/>
                    <a:stretch>
                      <a:fillRect/>
                    </a:stretch>
                  </pic:blipFill>
                  <pic:spPr>
                    <a:xfrm>
                      <a:off x="0" y="0"/>
                      <a:ext cx="3057525" cy="807825"/>
                    </a:xfrm>
                    <a:prstGeom prst="rect">
                      <a:avLst/>
                    </a:prstGeom>
                    <a:ln/>
                  </pic:spPr>
                </pic:pic>
              </a:graphicData>
            </a:graphic>
          </wp:anchor>
        </w:drawing>
      </w:r>
    </w:p>
    <w:p w:rsidR="00AD3A65" w:rsidRDefault="00ED1F13">
      <w:pPr>
        <w:ind w:right="5783"/>
      </w:pPr>
      <w:r>
        <w:t xml:space="preserve">You’ll see a lot of slides with this phrase on it. The ‘central dogma’ describes how information contained in DNA flows into proteins. First, DNA is </w:t>
      </w:r>
      <w:r>
        <w:rPr>
          <w:i/>
        </w:rPr>
        <w:t>transcribed</w:t>
      </w:r>
      <w:r>
        <w:t xml:space="preserve"> into RNA, then RNA is </w:t>
      </w:r>
      <w:r>
        <w:rPr>
          <w:i/>
        </w:rPr>
        <w:t xml:space="preserve">translated </w:t>
      </w:r>
      <w:r>
        <w:t xml:space="preserve">into proteins. Proteins are the chemical worker bees in cells. They execute the instructions contained in DNA. </w:t>
      </w:r>
      <w:r>
        <w:rPr>
          <w:noProof/>
        </w:rPr>
        <mc:AlternateContent>
          <mc:Choice Requires="wps">
            <w:drawing>
              <wp:anchor distT="114300" distB="114300" distL="114300" distR="114300" simplePos="0" relativeHeight="251659264" behindDoc="0" locked="0" layoutInCell="1" hidden="0" allowOverlap="1">
                <wp:simplePos x="0" y="0"/>
                <wp:positionH relativeFrom="column">
                  <wp:posOffset>7019925</wp:posOffset>
                </wp:positionH>
                <wp:positionV relativeFrom="paragraph">
                  <wp:posOffset>942975</wp:posOffset>
                </wp:positionV>
                <wp:extent cx="2590800" cy="492851"/>
                <wp:effectExtent l="0" t="0" r="0" b="0"/>
                <wp:wrapSquare wrapText="bothSides" distT="114300" distB="114300" distL="114300" distR="114300"/>
                <wp:docPr id="2" name="Text Box 2"/>
                <wp:cNvGraphicFramePr/>
                <a:graphic xmlns:a="http://schemas.openxmlformats.org/drawingml/2006/main">
                  <a:graphicData uri="http://schemas.microsoft.com/office/word/2010/wordprocessingShape">
                    <wps:wsp>
                      <wps:cNvSpPr txBox="1"/>
                      <wps:spPr>
                        <a:xfrm>
                          <a:off x="1039925" y="350350"/>
                          <a:ext cx="2885700" cy="533400"/>
                        </a:xfrm>
                        <a:prstGeom prst="rect">
                          <a:avLst/>
                        </a:prstGeom>
                        <a:noFill/>
                        <a:ln>
                          <a:noFill/>
                        </a:ln>
                      </wps:spPr>
                      <wps:txbx>
                        <w:txbxContent>
                          <w:p w:rsidR="00AD3A65" w:rsidRDefault="00ED1F13">
                            <w:pPr>
                              <w:spacing w:before="0" w:line="240" w:lineRule="auto"/>
                              <w:textDirection w:val="btLr"/>
                            </w:pPr>
                            <w:r>
                              <w:rPr>
                                <w:rFonts w:ascii="Arial" w:eastAsia="Arial" w:hAnsi="Arial" w:cs="Arial"/>
                                <w:b/>
                                <w:color w:val="000000"/>
                              </w:rPr>
                              <w:t>The central dogma of molecular biology</w:t>
                            </w:r>
                          </w:p>
                          <w:p w:rsidR="00AD3A65" w:rsidRDefault="00ED1F13">
                            <w:pPr>
                              <w:spacing w:before="0" w:line="240" w:lineRule="auto"/>
                              <w:textDirection w:val="btLr"/>
                            </w:pPr>
                            <w:r>
                              <w:rPr>
                                <w:rFonts w:ascii="Arial" w:eastAsia="Arial" w:hAnsi="Arial" w:cs="Arial"/>
                                <w:color w:val="000000"/>
                              </w:rPr>
                              <w:t>(Image from Khan Academy)</w:t>
                            </w:r>
                          </w:p>
                        </w:txbxContent>
                      </wps:txbx>
                      <wps:bodyPr spcFirstLastPara="1" wrap="square" lIns="91425" tIns="91425" rIns="91425" bIns="91425"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2.75pt;margin-top:74.25pt;width:204pt;height:38.8pt;z-index:25165926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OH1zQEAAIgDAAAOAAAAZHJzL2Uyb0RvYy54bWysU9uO0zAQfUfiHyy/06TpFtqo6QpYFSGt&#13;&#10;YKVdPsB17MZSfMEzbdK/Z+x0dwu8IaTKnZvOnDMz2dyOtmcnFcF41/D5rORMOelb4w4N//G0e7fi&#13;&#10;DFC4VvTeqYafFfDb7ds3myHUqvKd71sVGYE4qIfQ8A4x1EUBslNWwMwH5SipfbQCyY2Hoo1iIHTb&#13;&#10;F1VZvi8GH9sQvVQAFL2bknyb8bVWEr9rDQpZ33DihvmN+d2nt9huRH2IInRGXmiIf2BhhXHU9AXq&#13;&#10;TqBgx2j+grJGRg9e40x6W3itjVRZA6mZl3+oeexEUFkLDQfCy5jg/8HKb6eHyEzb8IozJyyt6EmN&#13;&#10;yD75kVVpOkOAmooeA5XhSGHa8nMcKJhEjzra9E9yWMqXi/W6WnJ2bvhiWdJvGnPClZSvVqvlh5K2&#13;&#10;IalguVjckE2dilegEAG/KG9ZMhoeaY15uuJ0DziVPpekvs7vTN/nVfbutwBhpkiRVExsk4XjfrxI&#13;&#10;2/v2TMogyJ2hXvcC8EFEOoE5ZwOdRcPh51FExVn/1dHc1/ObpAyvnXjt7K8d4WTn6dqQs8n8jPn2&#13;&#10;Jo4fj+i1yXoSq4nKhSytO0/kcprpnq79XPX6AW1/AQAA//8DAFBLAwQUAAYACAAAACEA+VRhoucA&#13;&#10;AAASAQAADwAAAGRycy9kb3ducmV2LnhtbExP0UrEMBB8F/yHsIIv4qWttpy9pocoihwcYhXRt1yz&#13;&#10;baNNUpvcXfXr3XvSl2WGnZ2dKZaT6dkOR6+dFRDPImBoa6e0bQW8PN+dz4H5IK2SvbMo4Bs9LMvj&#13;&#10;o0Lmyu3tE+6q0DIysT6XAroQhpxzX3dopJ+5AS3tGjcaGYiOLVej3JO56XkSRRk3Ulv60MkBbzqs&#13;&#10;P6utEXD1+nbWvOvup71//Miah2qtv1ZrIU5PptsFjesFsIBT+LuAQwfKDyUF27itVZ71xOMoTUlL&#13;&#10;6HJO4CBJ4wtCGwFJksXAy4L/r1L+AgAA//8DAFBLAQItABQABgAIAAAAIQC2gziS/gAAAOEBAAAT&#13;&#10;AAAAAAAAAAAAAAAAAAAAAABbQ29udGVudF9UeXBlc10ueG1sUEsBAi0AFAAGAAgAAAAhADj9If/W&#13;&#10;AAAAlAEAAAsAAAAAAAAAAAAAAAAALwEAAF9yZWxzLy5yZWxzUEsBAi0AFAAGAAgAAAAhANGA4fXN&#13;&#10;AQAAiAMAAA4AAAAAAAAAAAAAAAAALgIAAGRycy9lMm9Eb2MueG1sUEsBAi0AFAAGAAgAAAAhAPlU&#13;&#10;YaLnAAAAEgEAAA8AAAAAAAAAAAAAAAAAJwQAAGRycy9kb3ducmV2LnhtbFBLBQYAAAAABAAEAPMA&#13;&#10;AAA7BQAAAAA=&#13;&#10;" filled="f" stroked="f">
                <v:textbox inset="2.53958mm,2.53958mm,2.53958mm,2.53958mm">
                  <w:txbxContent>
                    <w:p w:rsidR="00AD3A65" w:rsidRDefault="00ED1F13">
                      <w:pPr>
                        <w:spacing w:before="0" w:line="240" w:lineRule="auto"/>
                        <w:textDirection w:val="btLr"/>
                      </w:pPr>
                      <w:r>
                        <w:rPr>
                          <w:rFonts w:ascii="Arial" w:eastAsia="Arial" w:hAnsi="Arial" w:cs="Arial"/>
                          <w:b/>
                          <w:color w:val="000000"/>
                        </w:rPr>
                        <w:t>The central dogma of molecular biology</w:t>
                      </w:r>
                    </w:p>
                    <w:p w:rsidR="00AD3A65" w:rsidRDefault="00ED1F13">
                      <w:pPr>
                        <w:spacing w:before="0" w:line="240" w:lineRule="auto"/>
                        <w:textDirection w:val="btLr"/>
                      </w:pPr>
                      <w:r>
                        <w:rPr>
                          <w:rFonts w:ascii="Arial" w:eastAsia="Arial" w:hAnsi="Arial" w:cs="Arial"/>
                          <w:color w:val="000000"/>
                        </w:rPr>
                        <w:t>(Image from Khan Academy)</w:t>
                      </w:r>
                    </w:p>
                  </w:txbxContent>
                </v:textbox>
                <w10:wrap type="square"/>
              </v:shape>
            </w:pict>
          </mc:Fallback>
        </mc:AlternateContent>
      </w:r>
    </w:p>
    <w:p w:rsidR="00AD3A65" w:rsidRDefault="00ED1F13">
      <w:pPr>
        <w:ind w:right="6210"/>
      </w:pPr>
      <w:r>
        <w:t xml:space="preserve">Understanding the chemical processes is not especially important. It’s just crucial to grasp that there is a flow of information going from DNA into other molecules in cells, which then go on to perform functions. </w:t>
      </w:r>
    </w:p>
    <w:p w:rsidR="00AD3A65" w:rsidRDefault="00ED1F13">
      <w:pPr>
        <w:ind w:right="6210"/>
      </w:pPr>
      <w:r>
        <w:t>Each ‘level’ of OMICs involves studying a particular group of molecules at a single stage on this pathway. There are a lot of commonalities between the methods of data gathering and analysis for each OMIC, but there are also some important differences. Below is a brief explanation of each of the main OMICs, with the key terms explained. Afterwards there is a table with some information about the data you will encounter in each field of OMICs.</w:t>
      </w:r>
    </w:p>
    <w:p w:rsidR="00AD3A65" w:rsidRDefault="00ED1F13">
      <w:pPr>
        <w:pStyle w:val="Heading1"/>
        <w:ind w:right="5783"/>
      </w:pPr>
      <w:bookmarkStart w:id="2" w:name="_f0s1oppe2jd3" w:colFirst="0" w:colLast="0"/>
      <w:bookmarkEnd w:id="2"/>
      <w:r>
        <w:t>Genetics</w:t>
      </w:r>
    </w:p>
    <w:p w:rsidR="00AD3A65" w:rsidRDefault="00ED1F13">
      <w:pPr>
        <w:pStyle w:val="Heading2"/>
        <w:ind w:right="5783"/>
      </w:pPr>
      <w:bookmarkStart w:id="3" w:name="_k5x94ssmbuqh" w:colFirst="0" w:colLast="0"/>
      <w:bookmarkEnd w:id="3"/>
      <w:r>
        <w:t xml:space="preserve">Nucleotides, SNPs, DNA, genes, and chromosomes </w:t>
      </w:r>
    </w:p>
    <w:p w:rsidR="00AD3A65" w:rsidRDefault="00ED1F13">
      <w:pPr>
        <w:ind w:right="5783"/>
      </w:pPr>
      <w:r>
        <w:t xml:space="preserve">The genome is the complete set of </w:t>
      </w:r>
      <w:proofErr w:type="gramStart"/>
      <w:r>
        <w:t>DNA</w:t>
      </w:r>
      <w:proofErr w:type="gramEnd"/>
      <w:r>
        <w:t xml:space="preserve"> in an organism. Each cell in an organism contains a copy of the genome. A simple, if a little reductive, analogy is to think of the genome like a book. </w:t>
      </w:r>
    </w:p>
    <w:p w:rsidR="00AD3A65" w:rsidRDefault="00ED1F13">
      <w:pPr>
        <w:ind w:right="5783"/>
        <w:rPr>
          <w:b/>
        </w:rPr>
      </w:pPr>
      <w:r>
        <w:rPr>
          <w:b/>
        </w:rPr>
        <w:t>Nucleotides</w:t>
      </w:r>
      <w:r>
        <w:t xml:space="preserve"> are the letters on the page – the smallest meaningful unit of variation.  They can only take four forms (</w:t>
      </w:r>
      <w:proofErr w:type="gramStart"/>
      <w:r>
        <w:t>G,A</w:t>
      </w:r>
      <w:proofErr w:type="gramEnd"/>
      <w:r>
        <w:t xml:space="preserve">,T,C), and each possible variant is called an allele. Because of the double helix nature of DNA strands, nucleotides are always ‘paired’ with another nucleotide on the opposing DNA strand. </w:t>
      </w:r>
      <w:r>
        <w:br/>
        <w:t>Ts are always paired with As, and Cs are always paired with Gs.</w:t>
      </w:r>
      <w:r>
        <w:rPr>
          <w:noProof/>
        </w:rPr>
        <w:drawing>
          <wp:anchor distT="457200" distB="457200" distL="457200" distR="457200" simplePos="0" relativeHeight="251660288" behindDoc="0" locked="0" layoutInCell="1" hidden="0" allowOverlap="1">
            <wp:simplePos x="0" y="0"/>
            <wp:positionH relativeFrom="column">
              <wp:posOffset>5638800</wp:posOffset>
            </wp:positionH>
            <wp:positionV relativeFrom="paragraph">
              <wp:posOffset>800100</wp:posOffset>
            </wp:positionV>
            <wp:extent cx="4450988" cy="2415707"/>
            <wp:effectExtent l="0" t="0" r="0" b="0"/>
            <wp:wrapSquare wrapText="bothSides" distT="457200" distB="457200" distL="457200" distR="45720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450988" cy="2415707"/>
                    </a:xfrm>
                    <a:prstGeom prst="rect">
                      <a:avLst/>
                    </a:prstGeom>
                    <a:ln/>
                  </pic:spPr>
                </pic:pic>
              </a:graphicData>
            </a:graphic>
          </wp:anchor>
        </w:drawing>
      </w:r>
    </w:p>
    <w:p w:rsidR="00AD3A65" w:rsidRDefault="00ED1F13">
      <w:pPr>
        <w:ind w:right="5783"/>
      </w:pPr>
      <w:r>
        <w:rPr>
          <w:b/>
        </w:rPr>
        <w:t>Genes</w:t>
      </w:r>
      <w:r>
        <w:t xml:space="preserve"> are paragraphs – groups of nucleotides that can be meaningfully interpreted when grouped together. </w:t>
      </w:r>
    </w:p>
    <w:p w:rsidR="00AD3A65" w:rsidRDefault="00ED1F13">
      <w:pPr>
        <w:ind w:right="5783"/>
      </w:pPr>
      <w:r>
        <w:rPr>
          <w:b/>
        </w:rPr>
        <w:t xml:space="preserve">DNA </w:t>
      </w:r>
      <w:r>
        <w:t>is just a collective term for all the genes / nucleotides.</w:t>
      </w:r>
    </w:p>
    <w:p w:rsidR="00AD3A65" w:rsidRDefault="00ED1F13">
      <w:pPr>
        <w:ind w:right="5783"/>
      </w:pPr>
      <w:r>
        <w:t xml:space="preserve">And </w:t>
      </w:r>
      <w:r>
        <w:rPr>
          <w:b/>
        </w:rPr>
        <w:t>chromosomes</w:t>
      </w:r>
      <w:r>
        <w:t xml:space="preserve"> are chapters. </w:t>
      </w:r>
    </w:p>
    <w:p w:rsidR="00AD3A65" w:rsidRDefault="00ED1F13">
      <w:pPr>
        <w:ind w:right="5783"/>
      </w:pPr>
      <w:proofErr w:type="gramStart"/>
      <w:r>
        <w:t>So</w:t>
      </w:r>
      <w:proofErr w:type="gramEnd"/>
      <w:r>
        <w:t xml:space="preserve"> chromosomes are made of genes and genes are made of DNA (nucleotides). Understanding of the chemical properties of DNA is not essential to conducting OMICs analysis.</w:t>
      </w:r>
    </w:p>
    <w:p w:rsidR="00AD3A65" w:rsidRDefault="00ED1F13">
      <w:pPr>
        <w:ind w:right="5783"/>
      </w:pPr>
      <w:r>
        <w:rPr>
          <w:b/>
        </w:rPr>
        <w:t>SNPs</w:t>
      </w:r>
      <w:r>
        <w:t xml:space="preserve"> are “single nucleotide polymorphisms”. It’s just a way of describing a nucleotide base pair that has been shown to vary in at least 1% </w:t>
      </w:r>
      <w:proofErr w:type="gramStart"/>
      <w:r>
        <w:t>of  individuals</w:t>
      </w:r>
      <w:proofErr w:type="gramEnd"/>
      <w:r>
        <w:t xml:space="preserve"> within a given population. The majority of our genomes are identical and very rarely vary between individuals, so knowing which places to look for variation substantially speeds up genetic studies.</w:t>
      </w:r>
      <w:r>
        <w:rPr>
          <w:noProof/>
        </w:rPr>
        <mc:AlternateContent>
          <mc:Choice Requires="wps">
            <w:drawing>
              <wp:anchor distT="114300" distB="114300" distL="114300" distR="114300" simplePos="0" relativeHeight="251661312" behindDoc="0" locked="0" layoutInCell="1" hidden="0" allowOverlap="1">
                <wp:simplePos x="0" y="0"/>
                <wp:positionH relativeFrom="column">
                  <wp:posOffset>6657975</wp:posOffset>
                </wp:positionH>
                <wp:positionV relativeFrom="paragraph">
                  <wp:posOffset>790575</wp:posOffset>
                </wp:positionV>
                <wp:extent cx="3057525" cy="793556"/>
                <wp:effectExtent l="0" t="0" r="0" b="0"/>
                <wp:wrapSquare wrapText="bothSides" distT="114300" distB="114300" distL="114300" distR="114300"/>
                <wp:docPr id="3" name="Text Box 3"/>
                <wp:cNvGraphicFramePr/>
                <a:graphic xmlns:a="http://schemas.openxmlformats.org/drawingml/2006/main">
                  <a:graphicData uri="http://schemas.microsoft.com/office/word/2010/wordprocessingShape">
                    <wps:wsp>
                      <wps:cNvSpPr txBox="1"/>
                      <wps:spPr>
                        <a:xfrm>
                          <a:off x="486100" y="185175"/>
                          <a:ext cx="3721200" cy="923100"/>
                        </a:xfrm>
                        <a:prstGeom prst="rect">
                          <a:avLst/>
                        </a:prstGeom>
                        <a:noFill/>
                        <a:ln>
                          <a:noFill/>
                        </a:ln>
                      </wps:spPr>
                      <wps:txbx>
                        <w:txbxContent>
                          <w:p w:rsidR="00AD3A65" w:rsidRDefault="00ED1F13">
                            <w:pPr>
                              <w:spacing w:before="0" w:line="240" w:lineRule="auto"/>
                              <w:textDirection w:val="btLr"/>
                            </w:pPr>
                            <w:r>
                              <w:rPr>
                                <w:rFonts w:ascii="Arial" w:eastAsia="Arial" w:hAnsi="Arial" w:cs="Arial"/>
                                <w:b/>
                                <w:color w:val="000000"/>
                              </w:rPr>
                              <w:t xml:space="preserve">The double helix structure of DNA. </w:t>
                            </w:r>
                          </w:p>
                          <w:p w:rsidR="00AD3A65" w:rsidRDefault="00ED1F13">
                            <w:pPr>
                              <w:spacing w:before="0" w:line="240" w:lineRule="auto"/>
                              <w:textDirection w:val="btLr"/>
                            </w:pPr>
                            <w:r>
                              <w:rPr>
                                <w:rFonts w:ascii="Arial" w:eastAsia="Arial" w:hAnsi="Arial" w:cs="Arial"/>
                                <w:color w:val="000000"/>
                              </w:rPr>
                              <w:t>Nucleotides are paired together to form base pairs. Cs always pair with Gs. Ts always pair with As.</w:t>
                            </w:r>
                          </w:p>
                          <w:p w:rsidR="00AD3A65" w:rsidRDefault="00ED1F13">
                            <w:pPr>
                              <w:spacing w:before="0" w:line="240" w:lineRule="auto"/>
                              <w:textDirection w:val="btLr"/>
                            </w:pPr>
                            <w:r>
                              <w:rPr>
                                <w:rFonts w:ascii="Arial" w:eastAsia="Arial" w:hAnsi="Arial" w:cs="Arial"/>
                                <w:color w:val="000000"/>
                              </w:rPr>
                              <w:t xml:space="preserve">Image from </w:t>
                            </w:r>
                            <w:r>
                              <w:rPr>
                                <w:rFonts w:ascii="Arial" w:eastAsia="Arial" w:hAnsi="Arial" w:cs="Arial"/>
                                <w:color w:val="000099"/>
                                <w:u w:val="single"/>
                              </w:rPr>
                              <w:t>https://socratic.org/questions/5a5c59b4b72cff5dc9754fa8</w:t>
                            </w:r>
                          </w:p>
                        </w:txbxContent>
                      </wps:txbx>
                      <wps:bodyPr spcFirstLastPara="1" wrap="square" lIns="91425" tIns="91425" rIns="91425" bIns="91425" anchor="t" anchorCtr="0">
                        <a:noAutofit/>
                      </wps:bodyPr>
                    </wps:wsp>
                  </a:graphicData>
                </a:graphic>
              </wp:anchor>
            </w:drawing>
          </mc:Choice>
          <mc:Fallback>
            <w:pict>
              <v:shape id="Text Box 3" o:spid="_x0000_s1027" type="#_x0000_t202" style="position:absolute;margin-left:524.25pt;margin-top:62.25pt;width:240.75pt;height:62.5pt;z-index:25166131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NF40AEAAI4DAAAOAAAAZHJzL2Uyb0RvYy54bWysU9tuGyEQfa/Uf0C813txnDgrr6O2katK&#13;&#10;URsp6QdgFrxIwFDA3vXfd2Adx03eqr6wzHB0Zs6Z2dXdaDQ5CB8U2JZWs5ISYTl0yu5a+ut582lJ&#13;&#10;SYjMdkyDFS09ikDv1h8/rAbXiBp60J3wBElsaAbX0j5G1xRF4L0wLMzACYuPErxhEUO/KzrPBmQ3&#13;&#10;uqjL8roYwHfOAxchYPZ+eqTrzC+l4PGnlEFEoluKvcV8+nxu01msV6zZeeZ6xU9tsH/owjBlseiZ&#13;&#10;6p5FRvZevaMyinsIIOOMgylASsVF1oBqqvKNmqeeOZG1oDnBnW0K/4+W/zg8eqK6ls4psczgiJ7F&#13;&#10;GMkXGMk8uTO40CDoySEsjpjGKb/kAyaT6FF6k74oh+D71fK6KtHsI0KXi+pmMbmcaDk+z2/qCkdH&#13;&#10;CUfAbT1PWCxUvPI4H+I3AYakS0s9TjGbyw4PIU7QF0gqa2GjtM6T1PavBHKmTJFETM2mWxy3Y5Z8&#13;&#10;FrKF7oj6guMbhSUfWIiPzOMiVJQMuBwtDb/3zAtK9HeL7t9WV/UCt+ky8JfB9jJglveAOxcpma5f&#13;&#10;Y97AqdXP+whSZVmpuamVU8849GzMaUHTVl3GGfX6G63/AAAA//8DAFBLAwQUAAYACAAAACEA5Aa9&#13;&#10;n+gAAAASAQAADwAAAGRycy9kb3ducmV2LnhtbExP0UrDMBR9F/yHcAVfZEus7di6pkMURYQhVhF9&#13;&#10;y5q0iTZJbbKt+vXePbmXyzncc889p1iNtiM7NQTjHYfLKQOiXO2lcS2H15e7yRxIiMJJ0XmnOPyo&#13;&#10;AKvy9KQQufR796x2VWwJmriQCw46xj6nNNRaWRGmvlcOd40frIhIh5bKQezR3HY0YWxGrTAOP2jR&#13;&#10;qxut6q9qazks3t4vmg+jf9v7p89Z81CtzffjmvPzs/F2ieN6CSSqMf5fwKED5ocSg2381slAOuQs&#13;&#10;nWeoRZSkCA6S7IphyQ2HJF1kQMuCHlcp/wAAAP//AwBQSwECLQAUAAYACAAAACEAtoM4kv4AAADh&#13;&#10;AQAAEwAAAAAAAAAAAAAAAAAAAAAAW0NvbnRlbnRfVHlwZXNdLnhtbFBLAQItABQABgAIAAAAIQA4&#13;&#10;/SH/1gAAAJQBAAALAAAAAAAAAAAAAAAAAC8BAABfcmVscy8ucmVsc1BLAQItABQABgAIAAAAIQDd&#13;&#10;eNF40AEAAI4DAAAOAAAAAAAAAAAAAAAAAC4CAABkcnMvZTJvRG9jLnhtbFBLAQItABQABgAIAAAA&#13;&#10;IQDkBr2f6AAAABIBAAAPAAAAAAAAAAAAAAAAACoEAABkcnMvZG93bnJldi54bWxQSwUGAAAAAAQA&#13;&#10;BADzAAAAPwUAAAAA&#13;&#10;" filled="f" stroked="f">
                <v:textbox inset="2.53958mm,2.53958mm,2.53958mm,2.53958mm">
                  <w:txbxContent>
                    <w:p w:rsidR="00AD3A65" w:rsidRDefault="00ED1F13">
                      <w:pPr>
                        <w:spacing w:before="0" w:line="240" w:lineRule="auto"/>
                        <w:textDirection w:val="btLr"/>
                      </w:pPr>
                      <w:r>
                        <w:rPr>
                          <w:rFonts w:ascii="Arial" w:eastAsia="Arial" w:hAnsi="Arial" w:cs="Arial"/>
                          <w:b/>
                          <w:color w:val="000000"/>
                        </w:rPr>
                        <w:t xml:space="preserve">The double helix structure of DNA. </w:t>
                      </w:r>
                    </w:p>
                    <w:p w:rsidR="00AD3A65" w:rsidRDefault="00ED1F13">
                      <w:pPr>
                        <w:spacing w:before="0" w:line="240" w:lineRule="auto"/>
                        <w:textDirection w:val="btLr"/>
                      </w:pPr>
                      <w:r>
                        <w:rPr>
                          <w:rFonts w:ascii="Arial" w:eastAsia="Arial" w:hAnsi="Arial" w:cs="Arial"/>
                          <w:color w:val="000000"/>
                        </w:rPr>
                        <w:t>Nucleotides are paired together to form base pairs. Cs always pair with Gs. Ts always pair with As.</w:t>
                      </w:r>
                    </w:p>
                    <w:p w:rsidR="00AD3A65" w:rsidRDefault="00ED1F13">
                      <w:pPr>
                        <w:spacing w:before="0" w:line="240" w:lineRule="auto"/>
                        <w:textDirection w:val="btLr"/>
                      </w:pPr>
                      <w:r>
                        <w:rPr>
                          <w:rFonts w:ascii="Arial" w:eastAsia="Arial" w:hAnsi="Arial" w:cs="Arial"/>
                          <w:color w:val="000000"/>
                        </w:rPr>
                        <w:t xml:space="preserve">Image from </w:t>
                      </w:r>
                      <w:r>
                        <w:rPr>
                          <w:rFonts w:ascii="Arial" w:eastAsia="Arial" w:hAnsi="Arial" w:cs="Arial"/>
                          <w:color w:val="000099"/>
                          <w:u w:val="single"/>
                        </w:rPr>
                        <w:t>https://socratic.org/questions/5a5c59b4b72cff5dc9754fa8</w:t>
                      </w:r>
                    </w:p>
                  </w:txbxContent>
                </v:textbox>
                <w10:wrap type="square"/>
              </v:shape>
            </w:pict>
          </mc:Fallback>
        </mc:AlternateContent>
      </w:r>
    </w:p>
    <w:p w:rsidR="00AD3A65" w:rsidRDefault="00ED1F13">
      <w:pPr>
        <w:pStyle w:val="Subtitle"/>
        <w:ind w:right="5783"/>
      </w:pPr>
      <w:bookmarkStart w:id="4" w:name="_izkbb1zj2hp" w:colFirst="0" w:colLast="0"/>
      <w:bookmarkEnd w:id="4"/>
      <w:r>
        <w:t>Gene sequencing and genotyping</w:t>
      </w:r>
    </w:p>
    <w:p w:rsidR="00AD3A65" w:rsidRDefault="00ED1F13">
      <w:pPr>
        <w:ind w:right="5783"/>
      </w:pPr>
      <w:r>
        <w:t xml:space="preserve">These are both ways of ‘reading’ the book. </w:t>
      </w:r>
    </w:p>
    <w:p w:rsidR="00AD3A65" w:rsidRDefault="00ED1F13">
      <w:pPr>
        <w:ind w:right="5783"/>
      </w:pPr>
      <w:r>
        <w:rPr>
          <w:b/>
        </w:rPr>
        <w:t>Gene sequencing</w:t>
      </w:r>
      <w:r>
        <w:t xml:space="preserve"> involves reading every single letter (approximately 3.2 billion nucleotide base pairs in the human genome</w:t>
      </w:r>
      <w:proofErr w:type="gramStart"/>
      <w:r>
        <w:t>), and</w:t>
      </w:r>
      <w:proofErr w:type="gramEnd"/>
      <w:r>
        <w:t xml:space="preserve"> is costly and time consuming.</w:t>
      </w:r>
    </w:p>
    <w:p w:rsidR="00AD3A65" w:rsidRDefault="00ED1F13">
      <w:pPr>
        <w:ind w:right="5783"/>
      </w:pPr>
      <w:r>
        <w:rPr>
          <w:b/>
        </w:rPr>
        <w:t>Genotyping</w:t>
      </w:r>
      <w:r>
        <w:t xml:space="preserve"> is </w:t>
      </w:r>
      <w:proofErr w:type="gramStart"/>
      <w:r>
        <w:t>faster, and</w:t>
      </w:r>
      <w:proofErr w:type="gramEnd"/>
      <w:r>
        <w:t xml:space="preserve"> involves only looking at a subset of SNPs with so-called microarrays / bead chips. More than 335 million SNPs are known in the human genome, and generally a subset of between 500k and 10 million are selected for study, on the basis of those which are known to vary the most in the population, or those that are most relevant to known diseases or phenotypes. </w:t>
      </w:r>
    </w:p>
    <w:p w:rsidR="00AD3A65" w:rsidRDefault="00ED1F13">
      <w:pPr>
        <w:ind w:right="5783"/>
      </w:pPr>
      <w:r>
        <w:lastRenderedPageBreak/>
        <w:t xml:space="preserve">Genotyping is what 23andMe and other similar companies </w:t>
      </w:r>
      <w:proofErr w:type="gramStart"/>
      <w:r>
        <w:t>do, and</w:t>
      </w:r>
      <w:proofErr w:type="gramEnd"/>
      <w:r>
        <w:t xml:space="preserve"> is how most genetic data for OMICs studies is gathered.</w:t>
      </w:r>
    </w:p>
    <w:p w:rsidR="00AD3A65" w:rsidRDefault="00ED1F13">
      <w:pPr>
        <w:ind w:right="5783"/>
      </w:pPr>
      <w:r>
        <w:rPr>
          <w:b/>
        </w:rPr>
        <w:t xml:space="preserve">GWAS </w:t>
      </w:r>
      <w:r>
        <w:t>studies involve genotyping a cohort of people to look at how their alleles vary across a subset of SNPs. The most common set-up for a GWAS is a case-control, where you have a group of people with a phenotype/disease, and a group without, and you run a huge sequence of – fairly simple – identical statistical tests on all the SNPs to see if any of them are statistically significantly different between the case group and the control group. GWAS is explained in more detail in the table below.</w:t>
      </w:r>
    </w:p>
    <w:p w:rsidR="00AD3A65" w:rsidRDefault="00ED1F13">
      <w:pPr>
        <w:pStyle w:val="Heading1"/>
        <w:ind w:right="5783"/>
      </w:pPr>
      <w:bookmarkStart w:id="5" w:name="_mauzyrbs7hdn" w:colFirst="0" w:colLast="0"/>
      <w:bookmarkEnd w:id="5"/>
      <w:r>
        <w:t>Epigenetics</w:t>
      </w:r>
      <w:r>
        <w:rPr>
          <w:noProof/>
        </w:rPr>
        <w:drawing>
          <wp:anchor distT="114300" distB="114300" distL="114300" distR="114300" simplePos="0" relativeHeight="251662336" behindDoc="0" locked="0" layoutInCell="1" hidden="0" allowOverlap="1">
            <wp:simplePos x="0" y="0"/>
            <wp:positionH relativeFrom="column">
              <wp:posOffset>6810375</wp:posOffset>
            </wp:positionH>
            <wp:positionV relativeFrom="paragraph">
              <wp:posOffset>400050</wp:posOffset>
            </wp:positionV>
            <wp:extent cx="2257425" cy="2297325"/>
            <wp:effectExtent l="0" t="0" r="0" b="0"/>
            <wp:wrapSquare wrapText="bothSides" distT="114300" distB="11430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b="40447"/>
                    <a:stretch>
                      <a:fillRect/>
                    </a:stretch>
                  </pic:blipFill>
                  <pic:spPr>
                    <a:xfrm>
                      <a:off x="0" y="0"/>
                      <a:ext cx="2257425" cy="2297325"/>
                    </a:xfrm>
                    <a:prstGeom prst="rect">
                      <a:avLst/>
                    </a:prstGeom>
                    <a:ln/>
                  </pic:spPr>
                </pic:pic>
              </a:graphicData>
            </a:graphic>
          </wp:anchor>
        </w:drawing>
      </w:r>
    </w:p>
    <w:p w:rsidR="00AD3A65" w:rsidRDefault="00ED1F13">
      <w:pPr>
        <w:ind w:right="5783"/>
      </w:pPr>
      <w:r>
        <w:t xml:space="preserve">To continue the book metaphor, epigenetics refers to a process by which bits of text get </w:t>
      </w:r>
      <w:proofErr w:type="spellStart"/>
      <w:r>
        <w:t>tippexed</w:t>
      </w:r>
      <w:proofErr w:type="spellEnd"/>
      <w:r>
        <w:t xml:space="preserve"> over, usually via a process called </w:t>
      </w:r>
      <w:r>
        <w:rPr>
          <w:b/>
        </w:rPr>
        <w:t>methylation</w:t>
      </w:r>
      <w:r>
        <w:rPr>
          <w:b/>
          <w:i/>
        </w:rPr>
        <w:t xml:space="preserve">. </w:t>
      </w:r>
      <w:r>
        <w:t>Again, understanding the chemistry is not essential for understanding the principles and the data.</w:t>
      </w:r>
    </w:p>
    <w:p w:rsidR="00AD3A65" w:rsidRDefault="00ED1F13">
      <w:pPr>
        <w:ind w:right="5783"/>
      </w:pPr>
      <w:r>
        <w:t xml:space="preserve">This methylation process happens in parts of the genome called </w:t>
      </w:r>
      <w:r>
        <w:rPr>
          <w:b/>
        </w:rPr>
        <w:t>CpG sites,</w:t>
      </w:r>
      <w:r>
        <w:t xml:space="preserve"> where a C nucleotide is followed by a G nucleotide. For chemical reasons, only </w:t>
      </w:r>
      <w:proofErr w:type="spellStart"/>
      <w:r>
        <w:t>CpGs</w:t>
      </w:r>
      <w:proofErr w:type="spellEnd"/>
      <w:r>
        <w:t xml:space="preserve"> can be methylated, and </w:t>
      </w:r>
      <w:proofErr w:type="spellStart"/>
      <w:r>
        <w:t>not</w:t>
      </w:r>
      <w:proofErr w:type="spellEnd"/>
      <w:r>
        <w:t xml:space="preserve"> other nucleotide base pairs. There are approximately 28 million CpG sites in the human genome, and they usually group together in </w:t>
      </w:r>
      <w:r>
        <w:rPr>
          <w:b/>
        </w:rPr>
        <w:t>CpG islands</w:t>
      </w:r>
      <w:r>
        <w:t>. Genes can be ‘silenced’ – meaning that they don’t perform their usual function – if they have large areas of methylated CpG islands, which is why it is of interest to study.</w:t>
      </w:r>
    </w:p>
    <w:p w:rsidR="00AD3A65" w:rsidRDefault="00ED1F13">
      <w:pPr>
        <w:ind w:right="5783"/>
      </w:pPr>
      <w:r>
        <w:rPr>
          <w:b/>
        </w:rPr>
        <w:t>Epigenome wide association studies (EWAS)</w:t>
      </w:r>
      <w:r>
        <w:t xml:space="preserve"> use similar methodology to GWAS, but rather than looking at SNPs, they are measuring the levels of methylation at CpG sites. Methylation levels are measured as proportions, between 0 and 1.</w:t>
      </w:r>
    </w:p>
    <w:p w:rsidR="00AD3A65" w:rsidRDefault="00ED1F13">
      <w:pPr>
        <w:pStyle w:val="Heading1"/>
      </w:pPr>
      <w:bookmarkStart w:id="6" w:name="_mj6ts6ns4l2s" w:colFirst="0" w:colLast="0"/>
      <w:bookmarkEnd w:id="6"/>
      <w:r>
        <w:t>Transcriptomics</w:t>
      </w:r>
      <w:r>
        <w:rPr>
          <w:noProof/>
        </w:rPr>
        <mc:AlternateContent>
          <mc:Choice Requires="wps">
            <w:drawing>
              <wp:anchor distT="114300" distB="114300" distL="114300" distR="114300" simplePos="0" relativeHeight="251663360" behindDoc="0" locked="0" layoutInCell="1" hidden="0" allowOverlap="1">
                <wp:simplePos x="0" y="0"/>
                <wp:positionH relativeFrom="column">
                  <wp:posOffset>6896100</wp:posOffset>
                </wp:positionH>
                <wp:positionV relativeFrom="paragraph">
                  <wp:posOffset>123825</wp:posOffset>
                </wp:positionV>
                <wp:extent cx="2590800" cy="492677"/>
                <wp:effectExtent l="0" t="0" r="0" b="0"/>
                <wp:wrapSquare wrapText="bothSides" distT="114300" distB="114300" distL="114300" distR="114300"/>
                <wp:docPr id="1" name="Text Box 1"/>
                <wp:cNvGraphicFramePr/>
                <a:graphic xmlns:a="http://schemas.openxmlformats.org/drawingml/2006/main">
                  <a:graphicData uri="http://schemas.microsoft.com/office/word/2010/wordprocessingShape">
                    <wps:wsp>
                      <wps:cNvSpPr txBox="1"/>
                      <wps:spPr>
                        <a:xfrm>
                          <a:off x="1039925" y="350350"/>
                          <a:ext cx="2885700" cy="533400"/>
                        </a:xfrm>
                        <a:prstGeom prst="rect">
                          <a:avLst/>
                        </a:prstGeom>
                        <a:noFill/>
                        <a:ln>
                          <a:noFill/>
                        </a:ln>
                      </wps:spPr>
                      <wps:txbx>
                        <w:txbxContent>
                          <w:p w:rsidR="00AD3A65" w:rsidRDefault="00ED1F13">
                            <w:pPr>
                              <w:spacing w:before="0" w:line="240" w:lineRule="auto"/>
                              <w:textDirection w:val="btLr"/>
                            </w:pPr>
                            <w:r>
                              <w:rPr>
                                <w:rFonts w:ascii="Arial" w:eastAsia="Arial" w:hAnsi="Arial" w:cs="Arial"/>
                                <w:b/>
                                <w:color w:val="000000"/>
                              </w:rPr>
                              <w:t>CpG sites on a CpG island</w:t>
                            </w:r>
                          </w:p>
                          <w:p w:rsidR="00AD3A65" w:rsidRDefault="00ED1F13">
                            <w:pPr>
                              <w:spacing w:before="0" w:line="240" w:lineRule="auto"/>
                              <w:textDirection w:val="btLr"/>
                            </w:pPr>
                            <w:r>
                              <w:rPr>
                                <w:rFonts w:ascii="Arial" w:eastAsia="Arial" w:hAnsi="Arial" w:cs="Arial"/>
                                <w:color w:val="000000"/>
                              </w:rPr>
                              <w:t>(Image from Wikipedia)</w:t>
                            </w:r>
                          </w:p>
                        </w:txbxContent>
                      </wps:txbx>
                      <wps:bodyPr spcFirstLastPara="1" wrap="square" lIns="91425" tIns="91425" rIns="91425" bIns="91425" anchor="t" anchorCtr="0">
                        <a:noAutofit/>
                      </wps:bodyPr>
                    </wps:wsp>
                  </a:graphicData>
                </a:graphic>
              </wp:anchor>
            </w:drawing>
          </mc:Choice>
          <mc:Fallback>
            <w:pict>
              <v:shape id="Text Box 1" o:spid="_x0000_s1028" type="#_x0000_t202" style="position:absolute;margin-left:543pt;margin-top:9.75pt;width:204pt;height:38.8pt;z-index:25166336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zVQp0AEAAI8DAAAOAAAAZHJzL2Uyb0RvYy54bWysU9GO0zAQfEfiHyy/06TpFdqo6Qk4FSGd&#13;&#10;4KQ7PsB17MZS7DVet0n/nrXTuyvwhpAqd3e9Gs/Mbja3o+3ZSQU04Bo+n5WcKSehNe7Q8B9Pu3cr&#13;&#10;zjAK14oenGr4WSG/3b59sxl8rSrooG9VYATisB58w7sYfV0UKDtlBc7AK0eXGoIVkdJwKNogBkK3&#13;&#10;fVGV5ftigND6AFIhUvVuuuTbjK+1kvG71qgi6xtO3GI+Qz736Sy2G1EfgvCdkRca4h9YWGEcPfoC&#13;&#10;dSeiYMdg/oKyRgZA0HEmwRagtZEqayA18/IPNY+d8CprIXPQv9iE/w9Wfjs9BGZamh1nTlga0ZMa&#13;&#10;I/sEI5sndwaPNTU9emqLI5VT56WOVEyiRx1s+ic5LN2Xi/W6WnJ2bvhiWdJvsjnhSrqvVqvlh5Km&#13;&#10;IalhuVjcUEyIxSuQDxi/KLAsBQ0PNMbsrjjdY5xan1vSuw52pu+pLure/VYgzFQpkoqJbYriuB+z&#13;&#10;5upZyR7aMwlEL3eGnrwXGB9EoE0gVwbajobjz6MIirP+qyP71/ObJDBeJ+E62V8nwskOaOkiZ1P4&#13;&#10;OeYVnKh+PEbQJstK5CYqF8409WzMZUPTWl3nuev1O9r+AgAA//8DAFBLAwQUAAYACAAAACEAWuWo&#13;&#10;LuUAAAAQAQAADwAAAGRycy9kb3ducmV2LnhtbExPW0vDMBR+F/wP4Qi+iEsns65d0yGKIoMhVhF9&#13;&#10;y5rTJtoktcm26q/37ElfDuc7l+9SLEfbsR0OwXgnYDpJgKGrvTKuFfDyfHc+BxaidEp23qGAbwyw&#13;&#10;LI+PCpkrv3dPuKtiy4jEhVwK0DH2Oeeh1mhlmPgeHe0aP1gZCQ4tV4PcE7nt+EWSpNxK40hByx5v&#13;&#10;NNaf1dYKyF7fzpp3o3/a+8ePtHmo1uZrtRbi9GS8XVC5XgCLOMa/DzhkIP9QkrGN3zoVWEc4maeU&#13;&#10;KFKXXQI7XMyyGU02JHI1BV4W/H+Q8hcAAP//AwBQSwECLQAUAAYACAAAACEAtoM4kv4AAADhAQAA&#13;&#10;EwAAAAAAAAAAAAAAAAAAAAAAW0NvbnRlbnRfVHlwZXNdLnhtbFBLAQItABQABgAIAAAAIQA4/SH/&#13;&#10;1gAAAJQBAAALAAAAAAAAAAAAAAAAAC8BAABfcmVscy8ucmVsc1BLAQItABQABgAIAAAAIQB0zVQp&#13;&#10;0AEAAI8DAAAOAAAAAAAAAAAAAAAAAC4CAABkcnMvZTJvRG9jLnhtbFBLAQItABQABgAIAAAAIQBa&#13;&#10;5agu5QAAABABAAAPAAAAAAAAAAAAAAAAACoEAABkcnMvZG93bnJldi54bWxQSwUGAAAAAAQABADz&#13;&#10;AAAAPAUAAAAA&#13;&#10;" filled="f" stroked="f">
                <v:textbox inset="2.53958mm,2.53958mm,2.53958mm,2.53958mm">
                  <w:txbxContent>
                    <w:p w:rsidR="00AD3A65" w:rsidRDefault="00ED1F13">
                      <w:pPr>
                        <w:spacing w:before="0" w:line="240" w:lineRule="auto"/>
                        <w:textDirection w:val="btLr"/>
                      </w:pPr>
                      <w:r>
                        <w:rPr>
                          <w:rFonts w:ascii="Arial" w:eastAsia="Arial" w:hAnsi="Arial" w:cs="Arial"/>
                          <w:b/>
                          <w:color w:val="000000"/>
                        </w:rPr>
                        <w:t>C</w:t>
                      </w:r>
                      <w:r>
                        <w:rPr>
                          <w:rFonts w:ascii="Arial" w:eastAsia="Arial" w:hAnsi="Arial" w:cs="Arial"/>
                          <w:b/>
                          <w:color w:val="000000"/>
                        </w:rPr>
                        <w:t>pG sites on a CpG island</w:t>
                      </w:r>
                    </w:p>
                    <w:p w:rsidR="00AD3A65" w:rsidRDefault="00ED1F13">
                      <w:pPr>
                        <w:spacing w:before="0" w:line="240" w:lineRule="auto"/>
                        <w:textDirection w:val="btLr"/>
                      </w:pPr>
                      <w:r>
                        <w:rPr>
                          <w:rFonts w:ascii="Arial" w:eastAsia="Arial" w:hAnsi="Arial" w:cs="Arial"/>
                          <w:color w:val="000000"/>
                        </w:rPr>
                        <w:t>(Image from Wikipedia)</w:t>
                      </w:r>
                    </w:p>
                  </w:txbxContent>
                </v:textbox>
                <w10:wrap type="square"/>
              </v:shape>
            </w:pict>
          </mc:Fallback>
        </mc:AlternateContent>
      </w:r>
    </w:p>
    <w:p w:rsidR="00AD3A65" w:rsidRDefault="00ED1F13">
      <w:pPr>
        <w:ind w:right="5642"/>
      </w:pPr>
      <w:r>
        <w:t xml:space="preserve">Transcriptomics is the study of gene expression – the extent to which a given gene is being transcribed into RNA at any given moment in a cell. There are different types of RNA, but </w:t>
      </w:r>
      <w:r>
        <w:rPr>
          <w:b/>
        </w:rPr>
        <w:t xml:space="preserve">messenger RNA </w:t>
      </w:r>
      <w:r>
        <w:t>(mRNA) is the type that is largely responsible for making proteins, so mRNA is generally studied in transcriptomics.</w:t>
      </w:r>
    </w:p>
    <w:p w:rsidR="00AD3A65" w:rsidRDefault="00ED1F13">
      <w:pPr>
        <w:pStyle w:val="Heading1"/>
      </w:pPr>
      <w:bookmarkStart w:id="7" w:name="_bus4tcsx206e" w:colFirst="0" w:colLast="0"/>
      <w:bookmarkEnd w:id="7"/>
      <w:r>
        <w:t>Proteomics</w:t>
      </w:r>
    </w:p>
    <w:p w:rsidR="00AD3A65" w:rsidRDefault="00ED1F13">
      <w:r>
        <w:t xml:space="preserve">The study of all the proteins in cells. </w:t>
      </w:r>
    </w:p>
    <w:p w:rsidR="00AD3A65" w:rsidRDefault="00ED1F13">
      <w:pPr>
        <w:pStyle w:val="Heading1"/>
      </w:pPr>
      <w:bookmarkStart w:id="8" w:name="_op0279kxjw15" w:colFirst="0" w:colLast="0"/>
      <w:bookmarkEnd w:id="8"/>
      <w:r>
        <w:t>Metabolomics</w:t>
      </w:r>
    </w:p>
    <w:p w:rsidR="00AD3A65" w:rsidRDefault="00ED1F13">
      <w:r>
        <w:t xml:space="preserve">The study of all the metabolites in cells / blood. </w:t>
      </w:r>
      <w:r>
        <w:br w:type="page"/>
      </w:r>
      <w:r>
        <w:rPr>
          <w:noProof/>
        </w:rPr>
        <w:drawing>
          <wp:anchor distT="114300" distB="114300" distL="114300" distR="114300" simplePos="0" relativeHeight="251664384" behindDoc="0" locked="0" layoutInCell="1" hidden="0" allowOverlap="1">
            <wp:simplePos x="0" y="0"/>
            <wp:positionH relativeFrom="column">
              <wp:posOffset>219075</wp:posOffset>
            </wp:positionH>
            <wp:positionV relativeFrom="paragraph">
              <wp:posOffset>1519768</wp:posOffset>
            </wp:positionV>
            <wp:extent cx="8241938" cy="3455789"/>
            <wp:effectExtent l="0" t="0" r="0" b="0"/>
            <wp:wrapSquare wrapText="bothSides" distT="114300" distB="11430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8241938" cy="3455789"/>
                    </a:xfrm>
                    <a:prstGeom prst="rect">
                      <a:avLst/>
                    </a:prstGeom>
                    <a:ln/>
                  </pic:spPr>
                </pic:pic>
              </a:graphicData>
            </a:graphic>
          </wp:anchor>
        </w:drawing>
      </w:r>
      <w:r>
        <w:rPr>
          <w:noProof/>
        </w:rPr>
        <mc:AlternateContent>
          <mc:Choice Requires="wps">
            <w:drawing>
              <wp:anchor distT="114300" distB="114300" distL="114300" distR="114300" simplePos="0" relativeHeight="251665408" behindDoc="0" locked="0" layoutInCell="1" hidden="0" allowOverlap="1">
                <wp:simplePos x="0" y="0"/>
                <wp:positionH relativeFrom="column">
                  <wp:posOffset>314325</wp:posOffset>
                </wp:positionH>
                <wp:positionV relativeFrom="paragraph">
                  <wp:posOffset>5029200</wp:posOffset>
                </wp:positionV>
                <wp:extent cx="2647950" cy="459146"/>
                <wp:effectExtent l="0" t="0" r="0" b="0"/>
                <wp:wrapSquare wrapText="bothSides" distT="114300" distB="114300" distL="114300" distR="114300"/>
                <wp:docPr id="4" name="Text Box 4"/>
                <wp:cNvGraphicFramePr/>
                <a:graphic xmlns:a="http://schemas.openxmlformats.org/drawingml/2006/main">
                  <a:graphicData uri="http://schemas.microsoft.com/office/word/2010/wordprocessingShape">
                    <wps:wsp>
                      <wps:cNvSpPr txBox="1"/>
                      <wps:spPr>
                        <a:xfrm>
                          <a:off x="647275" y="471100"/>
                          <a:ext cx="3989700" cy="676500"/>
                        </a:xfrm>
                        <a:prstGeom prst="rect">
                          <a:avLst/>
                        </a:prstGeom>
                        <a:noFill/>
                        <a:ln>
                          <a:noFill/>
                        </a:ln>
                      </wps:spPr>
                      <wps:txbx>
                        <w:txbxContent>
                          <w:p w:rsidR="00AD3A65" w:rsidRDefault="00ED1F13">
                            <w:pPr>
                              <w:spacing w:before="0" w:line="240" w:lineRule="auto"/>
                              <w:textDirection w:val="btLr"/>
                            </w:pPr>
                            <w:r>
                              <w:rPr>
                                <w:rFonts w:ascii="Arial" w:eastAsia="Arial" w:hAnsi="Arial" w:cs="Arial"/>
                                <w:b/>
                                <w:color w:val="000000"/>
                                <w:sz w:val="20"/>
                              </w:rPr>
                              <w:t xml:space="preserve">Chart from: </w:t>
                            </w:r>
                          </w:p>
                          <w:p w:rsidR="00AD3A65" w:rsidRDefault="00ED1F13">
                            <w:pPr>
                              <w:spacing w:before="0" w:line="240" w:lineRule="auto"/>
                              <w:textDirection w:val="btLr"/>
                            </w:pPr>
                            <w:r>
                              <w:rPr>
                                <w:color w:val="1155CC"/>
                                <w:sz w:val="20"/>
                                <w:u w:val="single"/>
                              </w:rPr>
                              <w:t>https://onlinelibrary.wiley.com/doi/full/10.1002/em.21797</w:t>
                            </w:r>
                          </w:p>
                        </w:txbxContent>
                      </wps:txbx>
                      <wps:bodyPr spcFirstLastPara="1" wrap="square" lIns="91425" tIns="91425" rIns="91425" bIns="91425" anchor="t" anchorCtr="0">
                        <a:noAutofit/>
                      </wps:bodyPr>
                    </wps:wsp>
                  </a:graphicData>
                </a:graphic>
              </wp:anchor>
            </w:drawing>
          </mc:Choice>
          <mc:Fallback>
            <w:pict>
              <v:shape id="Text Box 4" o:spid="_x0000_s1029" type="#_x0000_t202" style="position:absolute;margin-left:24.75pt;margin-top:396pt;width:208.5pt;height:36.15pt;z-index:25166540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7lw0AEAAI4DAAAOAAAAZHJzL2Uyb0RvYy54bWysU8tu2zAQvBfoPxC815Icx4oFy0HbwEWB&#13;&#10;oA2Q9ANoirQI8FUubcl/3yVlJ257K3qhuLuD4czuan0/Gk2OIoBytqXVrKREWO46Zfct/fGy/XBH&#13;&#10;CURmO6adFS09CaD3m/fv1oNvxNz1TnciECSx0Ay+pX2MvikK4L0wDGbOC4tF6YJhEcOwL7rABmQ3&#13;&#10;upiX5bIYXOh8cFwAYPZhKtJN5pdS8PhdShCR6JaitpjPkM9dOovNmjX7wHyv+FkG+wcVhimLj75S&#13;&#10;PbDIyCGov6iM4sGBk3HGnSmclIqL7AHdVOUfbp575kX2gs0B/9om+H+0/NvxKRDVtXRBiWUGR/Qi&#13;&#10;xkg+uZEsUncGDw2Cnj3C4ohpnPIlD5hMpkcZTPqiHYL15aKe17eUnJC0rqry3OVEy7F8s7pb1Zgk&#13;&#10;HAHLenk7AYo3Hh8gfhHOkHRpacAp5uay4yNE1ITQCyQ9a91WaZ0nqe1vCQSmTJFMTGLTLY67MVu+&#13;&#10;uRjZue6E/sDzrcInHxnEJxZwESpKBlyOlsLPAwuCEv3VYvdX1WKOBuN1EK6D3XXALO8d7lykZLp+&#13;&#10;jnkDJ6kfD9FJlW0lcZOUs2YcenZ7XtC0VddxRr39RptfAAAA//8DAFBLAwQUAAYACAAAACEAexeM&#13;&#10;4OkAAAAPAQAADwAAAGRycy9kb3ducmV2LnhtbEyPQU/DMAyF70j8h8hIXNCWMkpYu6YTAoEmpGmi&#13;&#10;IAS3rEmbQJOUJtsKvx5zgosl28/P7yuWo+3IXg3BeMfhfJoAUa720riWw/PT3WQOJEThpOi8Uxy+&#13;&#10;VIBleXxUiFz6g3tU+yq2BE1cyAUHHWOfUxpqrawIU98rh7vGD1ZEbIeWykEc0Nx2dJYkjFphHH7Q&#13;&#10;olc3WtUf1c5yyF5ez5o3o7/b+807a1bV2nw+rDk/PRlvF1iuF0CiGuPfBfwyYH4oMdjW75wMpOOQ&#13;&#10;Zpeo5HCVzRAMBSljONlymLP0AmhZ0P8c5Q8AAAD//wMAUEsBAi0AFAAGAAgAAAAhALaDOJL+AAAA&#13;&#10;4QEAABMAAAAAAAAAAAAAAAAAAAAAAFtDb250ZW50X1R5cGVzXS54bWxQSwECLQAUAAYACAAAACEA&#13;&#10;OP0h/9YAAACUAQAACwAAAAAAAAAAAAAAAAAvAQAAX3JlbHMvLnJlbHNQSwECLQAUAAYACAAAACEA&#13;&#10;MF+5cNABAACOAwAADgAAAAAAAAAAAAAAAAAuAgAAZHJzL2Uyb0RvYy54bWxQSwECLQAUAAYACAAA&#13;&#10;ACEAexeM4OkAAAAPAQAADwAAAAAAAAAAAAAAAAAqBAAAZHJzL2Rvd25yZXYueG1sUEsFBgAAAAAE&#13;&#10;AAQA8wAAAEAFAAAAAA==&#13;&#10;" filled="f" stroked="f">
                <v:textbox inset="2.53958mm,2.53958mm,2.53958mm,2.53958mm">
                  <w:txbxContent>
                    <w:p w:rsidR="00AD3A65" w:rsidRDefault="00ED1F13">
                      <w:pPr>
                        <w:spacing w:before="0" w:line="240" w:lineRule="auto"/>
                        <w:textDirection w:val="btLr"/>
                      </w:pPr>
                      <w:r>
                        <w:rPr>
                          <w:rFonts w:ascii="Arial" w:eastAsia="Arial" w:hAnsi="Arial" w:cs="Arial"/>
                          <w:b/>
                          <w:color w:val="000000"/>
                          <w:sz w:val="20"/>
                        </w:rPr>
                        <w:t xml:space="preserve">Chart from: </w:t>
                      </w:r>
                    </w:p>
                    <w:p w:rsidR="00AD3A65" w:rsidRDefault="00ED1F13">
                      <w:pPr>
                        <w:spacing w:before="0" w:line="240" w:lineRule="auto"/>
                        <w:textDirection w:val="btLr"/>
                      </w:pPr>
                      <w:r>
                        <w:rPr>
                          <w:color w:val="1155CC"/>
                          <w:sz w:val="20"/>
                          <w:u w:val="single"/>
                        </w:rPr>
                        <w:t>https://onlinelibrary.wiley.com/doi/full/10.1002/em.21797</w:t>
                      </w:r>
                    </w:p>
                  </w:txbxContent>
                </v:textbox>
                <w10:wrap type="square"/>
              </v:shape>
            </w:pict>
          </mc:Fallback>
        </mc:AlternateContent>
      </w:r>
    </w:p>
    <w:p w:rsidR="00AD3A65" w:rsidRDefault="00AD3A65"/>
    <w:p w:rsidR="00AD3A65" w:rsidRDefault="00AD3A65"/>
    <w:tbl>
      <w:tblPr>
        <w:tblStyle w:val="a"/>
        <w:tblW w:w="15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1695"/>
        <w:gridCol w:w="1845"/>
        <w:gridCol w:w="2670"/>
        <w:gridCol w:w="5040"/>
        <w:gridCol w:w="2910"/>
      </w:tblGrid>
      <w:tr w:rsidR="00AD3A65">
        <w:tc>
          <w:tcPr>
            <w:tcW w:w="1575"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b/>
              </w:rPr>
            </w:pPr>
            <w:r>
              <w:rPr>
                <w:b/>
              </w:rPr>
              <w:t>OMIC</w:t>
            </w:r>
          </w:p>
        </w:tc>
        <w:tc>
          <w:tcPr>
            <w:tcW w:w="1695"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b/>
              </w:rPr>
            </w:pPr>
            <w:r>
              <w:rPr>
                <w:b/>
              </w:rPr>
              <w:t>Molecules studied</w:t>
            </w:r>
          </w:p>
        </w:tc>
        <w:tc>
          <w:tcPr>
            <w:tcW w:w="1845"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b/>
              </w:rPr>
            </w:pPr>
            <w:r>
              <w:rPr>
                <w:b/>
              </w:rPr>
              <w:t>Method of data gathering</w:t>
            </w:r>
          </w:p>
        </w:tc>
        <w:tc>
          <w:tcPr>
            <w:tcW w:w="2670"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b/>
              </w:rPr>
            </w:pPr>
            <w:r>
              <w:rPr>
                <w:b/>
              </w:rPr>
              <w:t>What does the data look like?</w:t>
            </w:r>
          </w:p>
        </w:tc>
        <w:tc>
          <w:tcPr>
            <w:tcW w:w="5040" w:type="dxa"/>
            <w:shd w:val="clear" w:color="auto" w:fill="auto"/>
            <w:tcMar>
              <w:top w:w="100" w:type="dxa"/>
              <w:left w:w="100" w:type="dxa"/>
              <w:bottom w:w="100" w:type="dxa"/>
              <w:right w:w="100" w:type="dxa"/>
            </w:tcMar>
          </w:tcPr>
          <w:p w:rsidR="00AD3A65" w:rsidRDefault="00ED1F13">
            <w:pPr>
              <w:widowControl w:val="0"/>
              <w:spacing w:before="0" w:line="240" w:lineRule="auto"/>
              <w:rPr>
                <w:b/>
              </w:rPr>
            </w:pPr>
            <w:r>
              <w:rPr>
                <w:b/>
              </w:rPr>
              <w:t>Statistical methods</w:t>
            </w:r>
          </w:p>
        </w:tc>
        <w:tc>
          <w:tcPr>
            <w:tcW w:w="2910" w:type="dxa"/>
            <w:shd w:val="clear" w:color="auto" w:fill="auto"/>
            <w:tcMar>
              <w:top w:w="100" w:type="dxa"/>
              <w:left w:w="100" w:type="dxa"/>
              <w:bottom w:w="100" w:type="dxa"/>
              <w:right w:w="100" w:type="dxa"/>
            </w:tcMar>
          </w:tcPr>
          <w:p w:rsidR="00AD3A65" w:rsidRDefault="00ED1F13">
            <w:pPr>
              <w:widowControl w:val="0"/>
              <w:spacing w:before="0" w:line="240" w:lineRule="auto"/>
              <w:rPr>
                <w:b/>
              </w:rPr>
            </w:pPr>
            <w:r>
              <w:rPr>
                <w:b/>
              </w:rPr>
              <w:t>Environmental influence?</w:t>
            </w:r>
          </w:p>
        </w:tc>
      </w:tr>
      <w:tr w:rsidR="00AD3A65">
        <w:tc>
          <w:tcPr>
            <w:tcW w:w="1575"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b/>
                <w:sz w:val="20"/>
                <w:szCs w:val="20"/>
              </w:rPr>
            </w:pPr>
            <w:r>
              <w:rPr>
                <w:b/>
                <w:sz w:val="20"/>
                <w:szCs w:val="20"/>
              </w:rPr>
              <w:t>Genome</w:t>
            </w:r>
          </w:p>
          <w:p w:rsidR="00AD3A65" w:rsidRDefault="00ED1F13">
            <w:pPr>
              <w:widowControl w:val="0"/>
              <w:pBdr>
                <w:top w:val="nil"/>
                <w:left w:val="nil"/>
                <w:bottom w:val="nil"/>
                <w:right w:val="nil"/>
                <w:between w:val="nil"/>
              </w:pBdr>
              <w:spacing w:before="0" w:line="240" w:lineRule="auto"/>
              <w:rPr>
                <w:sz w:val="20"/>
                <w:szCs w:val="20"/>
              </w:rPr>
            </w:pPr>
            <w:r>
              <w:rPr>
                <w:sz w:val="20"/>
                <w:szCs w:val="20"/>
              </w:rPr>
              <w:t>GWAS:</w:t>
            </w:r>
          </w:p>
          <w:p w:rsidR="00AD3A65" w:rsidRDefault="00ED1F13">
            <w:pPr>
              <w:widowControl w:val="0"/>
              <w:pBdr>
                <w:top w:val="nil"/>
                <w:left w:val="nil"/>
                <w:bottom w:val="nil"/>
                <w:right w:val="nil"/>
                <w:between w:val="nil"/>
              </w:pBdr>
              <w:spacing w:before="0" w:line="240" w:lineRule="auto"/>
              <w:rPr>
                <w:sz w:val="20"/>
                <w:szCs w:val="20"/>
              </w:rPr>
            </w:pPr>
            <w:r>
              <w:rPr>
                <w:sz w:val="20"/>
                <w:szCs w:val="20"/>
              </w:rPr>
              <w:t>Genome Wide Association Studies</w:t>
            </w:r>
          </w:p>
        </w:tc>
        <w:tc>
          <w:tcPr>
            <w:tcW w:w="1695"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sz w:val="20"/>
                <w:szCs w:val="20"/>
              </w:rPr>
            </w:pPr>
            <w:r>
              <w:rPr>
                <w:sz w:val="20"/>
                <w:szCs w:val="20"/>
              </w:rPr>
              <w:t>DNA: SNPs – nucleotide base pairs that are known to vary within a population. Usually around 500k to 10million are studied in a GWAS</w:t>
            </w:r>
          </w:p>
        </w:tc>
        <w:tc>
          <w:tcPr>
            <w:tcW w:w="1845"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sz w:val="20"/>
                <w:szCs w:val="20"/>
              </w:rPr>
            </w:pPr>
            <w:r>
              <w:rPr>
                <w:sz w:val="20"/>
                <w:szCs w:val="20"/>
              </w:rPr>
              <w:t>Chip-based microarrays (often machines from Illumina or Affymetrix)</w:t>
            </w:r>
          </w:p>
        </w:tc>
        <w:tc>
          <w:tcPr>
            <w:tcW w:w="2670"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sz w:val="20"/>
                <w:szCs w:val="20"/>
              </w:rPr>
            </w:pPr>
            <w:r>
              <w:rPr>
                <w:sz w:val="20"/>
                <w:szCs w:val="20"/>
              </w:rPr>
              <w:t>A wide data set with 500k–10million variables (SNPs).</w:t>
            </w:r>
          </w:p>
          <w:p w:rsidR="00AD3A65" w:rsidRDefault="00AD3A65">
            <w:pPr>
              <w:widowControl w:val="0"/>
              <w:pBdr>
                <w:top w:val="nil"/>
                <w:left w:val="nil"/>
                <w:bottom w:val="nil"/>
                <w:right w:val="nil"/>
                <w:between w:val="nil"/>
              </w:pBdr>
              <w:spacing w:before="0" w:line="240" w:lineRule="auto"/>
              <w:rPr>
                <w:sz w:val="20"/>
                <w:szCs w:val="20"/>
              </w:rPr>
            </w:pPr>
          </w:p>
          <w:p w:rsidR="00AD3A65" w:rsidRDefault="00ED1F13">
            <w:pPr>
              <w:widowControl w:val="0"/>
              <w:pBdr>
                <w:top w:val="nil"/>
                <w:left w:val="nil"/>
                <w:bottom w:val="nil"/>
                <w:right w:val="nil"/>
                <w:between w:val="nil"/>
              </w:pBdr>
              <w:spacing w:before="0" w:line="240" w:lineRule="auto"/>
              <w:rPr>
                <w:sz w:val="20"/>
                <w:szCs w:val="20"/>
              </w:rPr>
            </w:pPr>
            <w:r>
              <w:rPr>
                <w:sz w:val="20"/>
                <w:szCs w:val="20"/>
              </w:rPr>
              <w:t xml:space="preserve">The SNPs are really categorical variables, but they are generally treated as continuous variables, taking values of 0 (non-carrier), 1 (heterozygous) and 2 (homozygous). </w:t>
            </w:r>
          </w:p>
          <w:p w:rsidR="00AD3A65" w:rsidRDefault="00ED1F13">
            <w:pPr>
              <w:widowControl w:val="0"/>
              <w:pBdr>
                <w:top w:val="nil"/>
                <w:left w:val="nil"/>
                <w:bottom w:val="nil"/>
                <w:right w:val="nil"/>
                <w:between w:val="nil"/>
              </w:pBdr>
              <w:spacing w:before="0" w:line="240" w:lineRule="auto"/>
              <w:rPr>
                <w:sz w:val="20"/>
                <w:szCs w:val="20"/>
              </w:rPr>
            </w:pPr>
            <w:r>
              <w:rPr>
                <w:sz w:val="20"/>
                <w:szCs w:val="20"/>
              </w:rPr>
              <w:t xml:space="preserve"> This represents the number of alternate alleles for this specific SNP (“mutation”): 0 means both chromosomes carry the reference allele, 1 means one reference and one alternate allele, 2 means both chromosomes carry the alternate allele.</w:t>
            </w:r>
          </w:p>
        </w:tc>
        <w:tc>
          <w:tcPr>
            <w:tcW w:w="5040"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sz w:val="20"/>
                <w:szCs w:val="20"/>
              </w:rPr>
            </w:pPr>
            <w:r>
              <w:rPr>
                <w:sz w:val="20"/>
                <w:szCs w:val="20"/>
              </w:rPr>
              <w:t>Generally, univariate linear mixed models are run for each SNP individually, with the outcome variable being the phenotype (case or control, in the most common cases). Either logistic regression of Chi</w:t>
            </w:r>
            <w:r>
              <w:rPr>
                <w:sz w:val="20"/>
                <w:szCs w:val="20"/>
                <w:vertAlign w:val="superscript"/>
              </w:rPr>
              <w:t>2</w:t>
            </w:r>
            <w:r>
              <w:rPr>
                <w:sz w:val="20"/>
                <w:szCs w:val="20"/>
              </w:rPr>
              <w:t xml:space="preserve"> for allele count can be used.</w:t>
            </w:r>
          </w:p>
          <w:p w:rsidR="00AD3A65" w:rsidRDefault="00AD3A65">
            <w:pPr>
              <w:widowControl w:val="0"/>
              <w:pBdr>
                <w:top w:val="nil"/>
                <w:left w:val="nil"/>
                <w:bottom w:val="nil"/>
                <w:right w:val="nil"/>
                <w:between w:val="nil"/>
              </w:pBdr>
              <w:spacing w:before="0" w:line="240" w:lineRule="auto"/>
              <w:rPr>
                <w:sz w:val="20"/>
                <w:szCs w:val="20"/>
              </w:rPr>
            </w:pPr>
          </w:p>
          <w:p w:rsidR="00AD3A65" w:rsidRDefault="00ED1F13">
            <w:pPr>
              <w:widowControl w:val="0"/>
              <w:pBdr>
                <w:top w:val="nil"/>
                <w:left w:val="nil"/>
                <w:bottom w:val="nil"/>
                <w:right w:val="nil"/>
                <w:between w:val="nil"/>
              </w:pBdr>
              <w:spacing w:before="0" w:line="240" w:lineRule="auto"/>
              <w:rPr>
                <w:sz w:val="20"/>
                <w:szCs w:val="20"/>
              </w:rPr>
            </w:pPr>
            <w:proofErr w:type="spellStart"/>
            <w:r>
              <w:rPr>
                <w:sz w:val="20"/>
                <w:szCs w:val="20"/>
              </w:rPr>
              <w:t>SnPs</w:t>
            </w:r>
            <w:proofErr w:type="spellEnd"/>
            <w:r>
              <w:rPr>
                <w:sz w:val="20"/>
                <w:szCs w:val="20"/>
              </w:rPr>
              <w:t xml:space="preserve"> are then matched back to their chromosomal position so that the gene in which they appear can be identified.</w:t>
            </w:r>
          </w:p>
          <w:p w:rsidR="00AD3A65" w:rsidRDefault="00AD3A65">
            <w:pPr>
              <w:widowControl w:val="0"/>
              <w:pBdr>
                <w:top w:val="nil"/>
                <w:left w:val="nil"/>
                <w:bottom w:val="nil"/>
                <w:right w:val="nil"/>
                <w:between w:val="nil"/>
              </w:pBdr>
              <w:spacing w:before="0" w:line="240" w:lineRule="auto"/>
              <w:rPr>
                <w:sz w:val="20"/>
                <w:szCs w:val="20"/>
              </w:rPr>
            </w:pPr>
          </w:p>
          <w:p w:rsidR="00AD3A65" w:rsidRDefault="00ED1F13">
            <w:pPr>
              <w:widowControl w:val="0"/>
              <w:pBdr>
                <w:top w:val="nil"/>
                <w:left w:val="nil"/>
                <w:bottom w:val="nil"/>
                <w:right w:val="nil"/>
                <w:between w:val="nil"/>
              </w:pBdr>
              <w:spacing w:before="0" w:line="240" w:lineRule="auto"/>
              <w:rPr>
                <w:sz w:val="20"/>
                <w:szCs w:val="20"/>
              </w:rPr>
            </w:pPr>
            <w:r>
              <w:rPr>
                <w:sz w:val="20"/>
                <w:szCs w:val="20"/>
              </w:rPr>
              <w:t xml:space="preserve">The results are commonly presented in a </w:t>
            </w:r>
            <w:proofErr w:type="spellStart"/>
            <w:r>
              <w:rPr>
                <w:sz w:val="20"/>
                <w:szCs w:val="20"/>
              </w:rPr>
              <w:t>manhattan</w:t>
            </w:r>
            <w:proofErr w:type="spellEnd"/>
            <w:r>
              <w:rPr>
                <w:sz w:val="20"/>
                <w:szCs w:val="20"/>
              </w:rPr>
              <w:t xml:space="preserve"> plot, where the -log10 p value for each individual test is plotted on the y-axis, with the SNP on the x-axis, </w:t>
            </w:r>
            <w:proofErr w:type="spellStart"/>
            <w:r>
              <w:rPr>
                <w:sz w:val="20"/>
                <w:szCs w:val="20"/>
              </w:rPr>
              <w:t>organised</w:t>
            </w:r>
            <w:proofErr w:type="spellEnd"/>
            <w:r>
              <w:rPr>
                <w:sz w:val="20"/>
                <w:szCs w:val="20"/>
              </w:rPr>
              <w:t xml:space="preserve"> by its chromosomal position. Each point on the plot is a SNP. </w:t>
            </w:r>
          </w:p>
          <w:p w:rsidR="00AD3A65" w:rsidRDefault="00ED1F13">
            <w:pPr>
              <w:widowControl w:val="0"/>
              <w:pBdr>
                <w:top w:val="nil"/>
                <w:left w:val="nil"/>
                <w:bottom w:val="nil"/>
                <w:right w:val="nil"/>
                <w:between w:val="nil"/>
              </w:pBdr>
              <w:spacing w:before="0" w:line="240" w:lineRule="auto"/>
              <w:rPr>
                <w:sz w:val="20"/>
                <w:szCs w:val="20"/>
              </w:rPr>
            </w:pPr>
            <w:r>
              <w:rPr>
                <w:noProof/>
                <w:sz w:val="20"/>
                <w:szCs w:val="20"/>
              </w:rPr>
              <w:drawing>
                <wp:inline distT="114300" distB="114300" distL="114300" distR="114300">
                  <wp:extent cx="2997562" cy="150884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997562" cy="1508840"/>
                          </a:xfrm>
                          <a:prstGeom prst="rect">
                            <a:avLst/>
                          </a:prstGeom>
                          <a:ln/>
                        </pic:spPr>
                      </pic:pic>
                    </a:graphicData>
                  </a:graphic>
                </wp:inline>
              </w:drawing>
            </w:r>
          </w:p>
          <w:p w:rsidR="00AD3A65" w:rsidRDefault="00ED1F13">
            <w:pPr>
              <w:widowControl w:val="0"/>
              <w:pBdr>
                <w:top w:val="nil"/>
                <w:left w:val="nil"/>
                <w:bottom w:val="nil"/>
                <w:right w:val="nil"/>
                <w:between w:val="nil"/>
              </w:pBdr>
              <w:spacing w:before="0" w:line="240" w:lineRule="auto"/>
              <w:rPr>
                <w:sz w:val="20"/>
                <w:szCs w:val="20"/>
              </w:rPr>
            </w:pPr>
            <w:r>
              <w:rPr>
                <w:sz w:val="20"/>
                <w:szCs w:val="20"/>
              </w:rPr>
              <w:t xml:space="preserve">Multivariate methods also applied when the combined effects of multiple </w:t>
            </w:r>
            <w:proofErr w:type="spellStart"/>
            <w:r>
              <w:rPr>
                <w:sz w:val="20"/>
                <w:szCs w:val="20"/>
              </w:rPr>
              <w:t>SnPs</w:t>
            </w:r>
            <w:proofErr w:type="spellEnd"/>
            <w:r>
              <w:rPr>
                <w:sz w:val="20"/>
                <w:szCs w:val="20"/>
              </w:rPr>
              <w:t xml:space="preserve"> / genes </w:t>
            </w:r>
            <w:proofErr w:type="gramStart"/>
            <w:r>
              <w:rPr>
                <w:sz w:val="20"/>
                <w:szCs w:val="20"/>
              </w:rPr>
              <w:t>is</w:t>
            </w:r>
            <w:proofErr w:type="gramEnd"/>
            <w:r>
              <w:rPr>
                <w:sz w:val="20"/>
                <w:szCs w:val="20"/>
              </w:rPr>
              <w:t xml:space="preserve"> under investigation.</w:t>
            </w:r>
          </w:p>
        </w:tc>
        <w:tc>
          <w:tcPr>
            <w:tcW w:w="2910"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sz w:val="20"/>
                <w:szCs w:val="20"/>
              </w:rPr>
            </w:pPr>
            <w:r>
              <w:rPr>
                <w:sz w:val="20"/>
                <w:szCs w:val="20"/>
              </w:rPr>
              <w:t>DNA is heritable and very stable. However, it can be changed for example through cancerogenic environmental influences like smoking, UV-light or radiation.</w:t>
            </w:r>
          </w:p>
          <w:p w:rsidR="00AD3A65" w:rsidRDefault="00AD3A65">
            <w:pPr>
              <w:widowControl w:val="0"/>
              <w:pBdr>
                <w:top w:val="nil"/>
                <w:left w:val="nil"/>
                <w:bottom w:val="nil"/>
                <w:right w:val="nil"/>
                <w:between w:val="nil"/>
              </w:pBdr>
              <w:spacing w:before="0" w:line="240" w:lineRule="auto"/>
              <w:rPr>
                <w:sz w:val="20"/>
                <w:szCs w:val="20"/>
              </w:rPr>
            </w:pPr>
          </w:p>
          <w:p w:rsidR="00AD3A65" w:rsidRDefault="00ED1F13">
            <w:pPr>
              <w:widowControl w:val="0"/>
              <w:pBdr>
                <w:top w:val="nil"/>
                <w:left w:val="nil"/>
                <w:bottom w:val="nil"/>
                <w:right w:val="nil"/>
                <w:between w:val="nil"/>
              </w:pBdr>
              <w:spacing w:before="0" w:line="240" w:lineRule="auto"/>
              <w:rPr>
                <w:sz w:val="20"/>
                <w:szCs w:val="20"/>
              </w:rPr>
            </w:pPr>
            <w:r>
              <w:rPr>
                <w:sz w:val="20"/>
                <w:szCs w:val="20"/>
              </w:rPr>
              <w:t>Epigenetic alterations can, however, change the way that DNA is transcribed into mRNA (see below).</w:t>
            </w:r>
          </w:p>
        </w:tc>
      </w:tr>
      <w:tr w:rsidR="00AD3A65">
        <w:tc>
          <w:tcPr>
            <w:tcW w:w="1575"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b/>
                <w:sz w:val="20"/>
                <w:szCs w:val="20"/>
              </w:rPr>
            </w:pPr>
            <w:r>
              <w:rPr>
                <w:b/>
                <w:sz w:val="20"/>
                <w:szCs w:val="20"/>
              </w:rPr>
              <w:t>Epigenome</w:t>
            </w:r>
          </w:p>
          <w:p w:rsidR="00AD3A65" w:rsidRDefault="00ED1F13">
            <w:pPr>
              <w:widowControl w:val="0"/>
              <w:pBdr>
                <w:top w:val="nil"/>
                <w:left w:val="nil"/>
                <w:bottom w:val="nil"/>
                <w:right w:val="nil"/>
                <w:between w:val="nil"/>
              </w:pBdr>
              <w:spacing w:before="0" w:line="240" w:lineRule="auto"/>
              <w:rPr>
                <w:sz w:val="20"/>
                <w:szCs w:val="20"/>
              </w:rPr>
            </w:pPr>
            <w:r>
              <w:rPr>
                <w:sz w:val="20"/>
                <w:szCs w:val="20"/>
              </w:rPr>
              <w:t>EWAS: Epigenome Wide Association Studies</w:t>
            </w:r>
          </w:p>
        </w:tc>
        <w:tc>
          <w:tcPr>
            <w:tcW w:w="1695"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sz w:val="20"/>
                <w:szCs w:val="20"/>
              </w:rPr>
            </w:pPr>
            <w:r>
              <w:rPr>
                <w:sz w:val="20"/>
                <w:szCs w:val="20"/>
              </w:rPr>
              <w:t>CpG sites (usually)</w:t>
            </w:r>
          </w:p>
          <w:p w:rsidR="00AD3A65" w:rsidRDefault="00ED1F13">
            <w:pPr>
              <w:widowControl w:val="0"/>
              <w:pBdr>
                <w:top w:val="nil"/>
                <w:left w:val="nil"/>
                <w:bottom w:val="nil"/>
                <w:right w:val="nil"/>
                <w:between w:val="nil"/>
              </w:pBdr>
              <w:spacing w:before="0" w:line="240" w:lineRule="auto"/>
              <w:rPr>
                <w:sz w:val="20"/>
                <w:szCs w:val="20"/>
              </w:rPr>
            </w:pPr>
            <w:r>
              <w:rPr>
                <w:noProof/>
                <w:sz w:val="20"/>
                <w:szCs w:val="20"/>
              </w:rPr>
              <w:drawing>
                <wp:inline distT="114300" distB="114300" distL="114300" distR="114300">
                  <wp:extent cx="1188254" cy="2043113"/>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88254" cy="2043113"/>
                          </a:xfrm>
                          <a:prstGeom prst="rect">
                            <a:avLst/>
                          </a:prstGeom>
                          <a:ln/>
                        </pic:spPr>
                      </pic:pic>
                    </a:graphicData>
                  </a:graphic>
                </wp:inline>
              </w:drawing>
            </w:r>
          </w:p>
        </w:tc>
        <w:tc>
          <w:tcPr>
            <w:tcW w:w="1845"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sz w:val="20"/>
                <w:szCs w:val="20"/>
              </w:rPr>
            </w:pPr>
            <w:r>
              <w:rPr>
                <w:sz w:val="20"/>
                <w:szCs w:val="20"/>
              </w:rPr>
              <w:t>Usually the Illumina Infinium 450k / EPIC (850k) array</w:t>
            </w:r>
            <w:r>
              <w:rPr>
                <w:rFonts w:ascii="Arial" w:eastAsia="Arial" w:hAnsi="Arial" w:cs="Arial"/>
                <w:color w:val="222222"/>
                <w:sz w:val="21"/>
                <w:szCs w:val="21"/>
                <w:highlight w:val="white"/>
              </w:rPr>
              <w:t xml:space="preserve"> </w:t>
            </w:r>
          </w:p>
        </w:tc>
        <w:tc>
          <w:tcPr>
            <w:tcW w:w="2670"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sz w:val="20"/>
                <w:szCs w:val="20"/>
              </w:rPr>
            </w:pPr>
            <w:r>
              <w:rPr>
                <w:sz w:val="20"/>
                <w:szCs w:val="20"/>
              </w:rPr>
              <w:t>A wide data set with around 450,000 / 850,000 variables (each one is a CpG site). This is still only around 2% of the total human epigenome.</w:t>
            </w:r>
          </w:p>
          <w:p w:rsidR="00AD3A65" w:rsidRDefault="00AD3A65">
            <w:pPr>
              <w:widowControl w:val="0"/>
              <w:pBdr>
                <w:top w:val="nil"/>
                <w:left w:val="nil"/>
                <w:bottom w:val="nil"/>
                <w:right w:val="nil"/>
                <w:between w:val="nil"/>
              </w:pBdr>
              <w:spacing w:before="0" w:line="240" w:lineRule="auto"/>
              <w:rPr>
                <w:sz w:val="20"/>
                <w:szCs w:val="20"/>
              </w:rPr>
            </w:pPr>
          </w:p>
          <w:p w:rsidR="00AD3A65" w:rsidRDefault="00ED1F13">
            <w:pPr>
              <w:widowControl w:val="0"/>
              <w:pBdr>
                <w:top w:val="nil"/>
                <w:left w:val="nil"/>
                <w:bottom w:val="nil"/>
                <w:right w:val="nil"/>
                <w:between w:val="nil"/>
              </w:pBdr>
              <w:spacing w:before="0" w:line="240" w:lineRule="auto"/>
              <w:rPr>
                <w:sz w:val="20"/>
                <w:szCs w:val="20"/>
              </w:rPr>
            </w:pPr>
            <w:r>
              <w:rPr>
                <w:sz w:val="20"/>
                <w:szCs w:val="20"/>
              </w:rPr>
              <w:t>Values range between 0 and 1, representing the proportion of methylation at a given CpG site.</w:t>
            </w:r>
          </w:p>
          <w:p w:rsidR="00AD3A65" w:rsidRDefault="00AD3A65">
            <w:pPr>
              <w:widowControl w:val="0"/>
              <w:pBdr>
                <w:top w:val="nil"/>
                <w:left w:val="nil"/>
                <w:bottom w:val="nil"/>
                <w:right w:val="nil"/>
                <w:between w:val="nil"/>
              </w:pBdr>
              <w:spacing w:before="0" w:line="240" w:lineRule="auto"/>
              <w:rPr>
                <w:sz w:val="20"/>
                <w:szCs w:val="20"/>
              </w:rPr>
            </w:pPr>
          </w:p>
          <w:p w:rsidR="00AD3A65" w:rsidRDefault="00ED1F13">
            <w:pPr>
              <w:widowControl w:val="0"/>
              <w:pBdr>
                <w:top w:val="nil"/>
                <w:left w:val="nil"/>
                <w:bottom w:val="nil"/>
                <w:right w:val="nil"/>
                <w:between w:val="nil"/>
              </w:pBdr>
              <w:spacing w:before="0" w:line="240" w:lineRule="auto"/>
              <w:rPr>
                <w:sz w:val="20"/>
                <w:szCs w:val="20"/>
              </w:rPr>
            </w:pPr>
            <w:r>
              <w:rPr>
                <w:noProof/>
                <w:sz w:val="20"/>
                <w:szCs w:val="20"/>
              </w:rPr>
              <w:drawing>
                <wp:inline distT="114300" distB="114300" distL="114300" distR="114300">
                  <wp:extent cx="1514475" cy="5715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514475" cy="571500"/>
                          </a:xfrm>
                          <a:prstGeom prst="rect">
                            <a:avLst/>
                          </a:prstGeom>
                          <a:ln/>
                        </pic:spPr>
                      </pic:pic>
                    </a:graphicData>
                  </a:graphic>
                </wp:inline>
              </w:drawing>
            </w:r>
          </w:p>
        </w:tc>
        <w:tc>
          <w:tcPr>
            <w:tcW w:w="5040"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sz w:val="20"/>
                <w:szCs w:val="20"/>
              </w:rPr>
            </w:pPr>
            <w:r>
              <w:rPr>
                <w:sz w:val="20"/>
                <w:szCs w:val="20"/>
              </w:rPr>
              <w:t xml:space="preserve">Similar to GWAS. Univariate results may also be presented in a Manhattan plot. </w:t>
            </w:r>
          </w:p>
          <w:p w:rsidR="00AD3A65" w:rsidRDefault="00AD3A65">
            <w:pPr>
              <w:widowControl w:val="0"/>
              <w:pBdr>
                <w:top w:val="nil"/>
                <w:left w:val="nil"/>
                <w:bottom w:val="nil"/>
                <w:right w:val="nil"/>
                <w:between w:val="nil"/>
              </w:pBdr>
              <w:spacing w:before="0" w:line="240" w:lineRule="auto"/>
              <w:rPr>
                <w:sz w:val="20"/>
                <w:szCs w:val="20"/>
              </w:rPr>
            </w:pPr>
          </w:p>
          <w:p w:rsidR="00AD3A65" w:rsidRDefault="00ED1F13">
            <w:pPr>
              <w:widowControl w:val="0"/>
              <w:pBdr>
                <w:top w:val="nil"/>
                <w:left w:val="nil"/>
                <w:bottom w:val="nil"/>
                <w:right w:val="nil"/>
                <w:between w:val="nil"/>
              </w:pBdr>
              <w:spacing w:before="0" w:line="240" w:lineRule="auto"/>
              <w:rPr>
                <w:sz w:val="20"/>
                <w:szCs w:val="20"/>
              </w:rPr>
            </w:pPr>
            <w:r>
              <w:rPr>
                <w:sz w:val="20"/>
                <w:szCs w:val="20"/>
              </w:rPr>
              <w:t xml:space="preserve">Approaches will depend on whether you are examining the epigenomic ‘response’ to environmental factors, or whether you are looking to identify </w:t>
            </w:r>
            <w:proofErr w:type="spellStart"/>
            <w:r>
              <w:rPr>
                <w:sz w:val="20"/>
                <w:szCs w:val="20"/>
              </w:rPr>
              <w:t>CpGs</w:t>
            </w:r>
            <w:proofErr w:type="spellEnd"/>
            <w:r>
              <w:rPr>
                <w:sz w:val="20"/>
                <w:szCs w:val="20"/>
              </w:rPr>
              <w:t xml:space="preserve"> that are markers of a particular disease or phenotype.  Multivariate approaches may be more appropriate for the latter.</w:t>
            </w:r>
          </w:p>
          <w:p w:rsidR="00AD3A65" w:rsidRDefault="00AD3A65">
            <w:pPr>
              <w:widowControl w:val="0"/>
              <w:pBdr>
                <w:top w:val="nil"/>
                <w:left w:val="nil"/>
                <w:bottom w:val="nil"/>
                <w:right w:val="nil"/>
                <w:between w:val="nil"/>
              </w:pBdr>
              <w:spacing w:before="0" w:line="240" w:lineRule="auto"/>
              <w:rPr>
                <w:sz w:val="20"/>
                <w:szCs w:val="20"/>
              </w:rPr>
            </w:pPr>
          </w:p>
          <w:p w:rsidR="00AD3A65" w:rsidRDefault="00ED1F13">
            <w:pPr>
              <w:widowControl w:val="0"/>
              <w:pBdr>
                <w:top w:val="nil"/>
                <w:left w:val="nil"/>
                <w:bottom w:val="nil"/>
                <w:right w:val="nil"/>
                <w:between w:val="nil"/>
              </w:pBdr>
              <w:spacing w:before="0" w:line="240" w:lineRule="auto"/>
              <w:rPr>
                <w:sz w:val="20"/>
                <w:szCs w:val="20"/>
              </w:rPr>
            </w:pPr>
            <w:r>
              <w:rPr>
                <w:sz w:val="20"/>
                <w:szCs w:val="20"/>
              </w:rPr>
              <w:t xml:space="preserve">For a full run-down of statistical approaches, see </w:t>
            </w:r>
            <w:hyperlink r:id="rId14">
              <w:r>
                <w:rPr>
                  <w:color w:val="1155CC"/>
                  <w:sz w:val="20"/>
                  <w:szCs w:val="20"/>
                  <w:u w:val="single"/>
                </w:rPr>
                <w:t>https://onlinelibrary.wiley.com/doi/full/10.1002/em.21797</w:t>
              </w:r>
            </w:hyperlink>
          </w:p>
          <w:p w:rsidR="00AD3A65" w:rsidRDefault="00AD3A65">
            <w:pPr>
              <w:widowControl w:val="0"/>
              <w:pBdr>
                <w:top w:val="nil"/>
                <w:left w:val="nil"/>
                <w:bottom w:val="nil"/>
                <w:right w:val="nil"/>
                <w:between w:val="nil"/>
              </w:pBdr>
              <w:spacing w:before="0" w:line="240" w:lineRule="auto"/>
              <w:rPr>
                <w:sz w:val="20"/>
                <w:szCs w:val="20"/>
              </w:rPr>
            </w:pPr>
          </w:p>
          <w:p w:rsidR="00AD3A65" w:rsidRDefault="00AD3A65">
            <w:pPr>
              <w:widowControl w:val="0"/>
              <w:pBdr>
                <w:top w:val="nil"/>
                <w:left w:val="nil"/>
                <w:bottom w:val="nil"/>
                <w:right w:val="nil"/>
                <w:between w:val="nil"/>
              </w:pBdr>
              <w:spacing w:before="0" w:line="240" w:lineRule="auto"/>
              <w:rPr>
                <w:sz w:val="20"/>
                <w:szCs w:val="20"/>
              </w:rPr>
            </w:pPr>
          </w:p>
        </w:tc>
        <w:tc>
          <w:tcPr>
            <w:tcW w:w="2910"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sz w:val="20"/>
                <w:szCs w:val="20"/>
              </w:rPr>
            </w:pPr>
            <w:r>
              <w:rPr>
                <w:sz w:val="20"/>
                <w:szCs w:val="20"/>
              </w:rPr>
              <w:t>Methylation can be influenced by multiple environmental factors – stress, lifestyle, nutrient intake, etc.</w:t>
            </w:r>
          </w:p>
          <w:p w:rsidR="00AD3A65" w:rsidRDefault="00AD3A65">
            <w:pPr>
              <w:widowControl w:val="0"/>
              <w:pBdr>
                <w:top w:val="nil"/>
                <w:left w:val="nil"/>
                <w:bottom w:val="nil"/>
                <w:right w:val="nil"/>
                <w:between w:val="nil"/>
              </w:pBdr>
              <w:spacing w:before="0" w:line="240" w:lineRule="auto"/>
              <w:rPr>
                <w:sz w:val="20"/>
                <w:szCs w:val="20"/>
              </w:rPr>
            </w:pPr>
          </w:p>
          <w:p w:rsidR="00AD3A65" w:rsidRDefault="00ED1F13">
            <w:pPr>
              <w:widowControl w:val="0"/>
              <w:pBdr>
                <w:top w:val="nil"/>
                <w:left w:val="nil"/>
                <w:bottom w:val="nil"/>
                <w:right w:val="nil"/>
                <w:between w:val="nil"/>
              </w:pBdr>
              <w:spacing w:before="0" w:line="240" w:lineRule="auto"/>
              <w:rPr>
                <w:sz w:val="20"/>
                <w:szCs w:val="20"/>
              </w:rPr>
            </w:pPr>
            <w:r>
              <w:rPr>
                <w:sz w:val="20"/>
                <w:szCs w:val="20"/>
              </w:rPr>
              <w:t xml:space="preserve">Methylation levels also change over a person’s life course, and some </w:t>
            </w:r>
            <w:proofErr w:type="spellStart"/>
            <w:r>
              <w:rPr>
                <w:sz w:val="20"/>
                <w:szCs w:val="20"/>
              </w:rPr>
              <w:t>CpGs</w:t>
            </w:r>
            <w:proofErr w:type="spellEnd"/>
            <w:r>
              <w:rPr>
                <w:sz w:val="20"/>
                <w:szCs w:val="20"/>
              </w:rPr>
              <w:t xml:space="preserve"> are known to follow consistent trajectories, meaning that an ‘epigenetic clock’ can be used to measure age.</w:t>
            </w:r>
          </w:p>
          <w:p w:rsidR="00AD3A65" w:rsidRDefault="00AD3A65">
            <w:pPr>
              <w:widowControl w:val="0"/>
              <w:pBdr>
                <w:top w:val="nil"/>
                <w:left w:val="nil"/>
                <w:bottom w:val="nil"/>
                <w:right w:val="nil"/>
                <w:between w:val="nil"/>
              </w:pBdr>
              <w:spacing w:before="0" w:line="240" w:lineRule="auto"/>
              <w:rPr>
                <w:sz w:val="20"/>
                <w:szCs w:val="20"/>
              </w:rPr>
            </w:pPr>
          </w:p>
          <w:p w:rsidR="00AD3A65" w:rsidRDefault="00ED1F13">
            <w:pPr>
              <w:widowControl w:val="0"/>
              <w:pBdr>
                <w:top w:val="nil"/>
                <w:left w:val="nil"/>
                <w:bottom w:val="nil"/>
                <w:right w:val="nil"/>
                <w:between w:val="nil"/>
              </w:pBdr>
              <w:spacing w:before="0" w:line="240" w:lineRule="auto"/>
              <w:rPr>
                <w:sz w:val="20"/>
                <w:szCs w:val="20"/>
              </w:rPr>
            </w:pPr>
            <w:r>
              <w:rPr>
                <w:sz w:val="20"/>
                <w:szCs w:val="20"/>
              </w:rPr>
              <w:t>Some epigenetic modifications can be transmitted to offspring, meaning that, contrary to what was once thought, there is a mechanism for heritability beyond the raw genetic code of DNA.</w:t>
            </w:r>
          </w:p>
        </w:tc>
      </w:tr>
      <w:tr w:rsidR="00AD3A65">
        <w:tc>
          <w:tcPr>
            <w:tcW w:w="1575"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b/>
                <w:sz w:val="20"/>
                <w:szCs w:val="20"/>
              </w:rPr>
            </w:pPr>
            <w:r>
              <w:rPr>
                <w:b/>
                <w:sz w:val="20"/>
                <w:szCs w:val="20"/>
              </w:rPr>
              <w:t>Transcriptome</w:t>
            </w:r>
          </w:p>
          <w:p w:rsidR="00AD3A65" w:rsidRDefault="00ED1F13">
            <w:pPr>
              <w:widowControl w:val="0"/>
              <w:pBdr>
                <w:top w:val="nil"/>
                <w:left w:val="nil"/>
                <w:bottom w:val="nil"/>
                <w:right w:val="nil"/>
                <w:between w:val="nil"/>
              </w:pBdr>
              <w:spacing w:before="0" w:line="240" w:lineRule="auto"/>
              <w:rPr>
                <w:sz w:val="20"/>
                <w:szCs w:val="20"/>
              </w:rPr>
            </w:pPr>
            <w:r>
              <w:rPr>
                <w:sz w:val="20"/>
                <w:szCs w:val="20"/>
              </w:rPr>
              <w:t>Transcriptomic studies</w:t>
            </w:r>
          </w:p>
        </w:tc>
        <w:tc>
          <w:tcPr>
            <w:tcW w:w="1695"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sz w:val="20"/>
                <w:szCs w:val="20"/>
              </w:rPr>
            </w:pPr>
            <w:r>
              <w:rPr>
                <w:sz w:val="20"/>
                <w:szCs w:val="20"/>
              </w:rPr>
              <w:t>mRNA</w:t>
            </w:r>
          </w:p>
        </w:tc>
        <w:tc>
          <w:tcPr>
            <w:tcW w:w="1845"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sz w:val="20"/>
                <w:szCs w:val="20"/>
              </w:rPr>
            </w:pPr>
            <w:r>
              <w:rPr>
                <w:sz w:val="20"/>
                <w:szCs w:val="20"/>
              </w:rPr>
              <w:t>Chip-based microarrays</w:t>
            </w:r>
          </w:p>
        </w:tc>
        <w:tc>
          <w:tcPr>
            <w:tcW w:w="2670"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sz w:val="20"/>
                <w:szCs w:val="20"/>
              </w:rPr>
            </w:pPr>
            <w:r>
              <w:rPr>
                <w:sz w:val="20"/>
                <w:szCs w:val="20"/>
              </w:rPr>
              <w:t>A wide data set with ~40,000 variables (each one measures levels of a particular transcript).</w:t>
            </w:r>
          </w:p>
          <w:p w:rsidR="00AD3A65" w:rsidRDefault="00AD3A65">
            <w:pPr>
              <w:widowControl w:val="0"/>
              <w:pBdr>
                <w:top w:val="nil"/>
                <w:left w:val="nil"/>
                <w:bottom w:val="nil"/>
                <w:right w:val="nil"/>
                <w:between w:val="nil"/>
              </w:pBdr>
              <w:spacing w:before="0" w:line="240" w:lineRule="auto"/>
              <w:rPr>
                <w:sz w:val="20"/>
                <w:szCs w:val="20"/>
              </w:rPr>
            </w:pPr>
          </w:p>
          <w:p w:rsidR="00AD3A65" w:rsidRDefault="00ED1F13">
            <w:pPr>
              <w:widowControl w:val="0"/>
              <w:pBdr>
                <w:top w:val="nil"/>
                <w:left w:val="nil"/>
                <w:bottom w:val="nil"/>
                <w:right w:val="nil"/>
                <w:between w:val="nil"/>
              </w:pBdr>
              <w:spacing w:before="0" w:line="240" w:lineRule="auto"/>
              <w:rPr>
                <w:sz w:val="20"/>
                <w:szCs w:val="20"/>
              </w:rPr>
            </w:pPr>
            <w:r>
              <w:rPr>
                <w:sz w:val="20"/>
                <w:szCs w:val="20"/>
              </w:rPr>
              <w:t xml:space="preserve">Genes can encode more than one </w:t>
            </w:r>
            <w:proofErr w:type="gramStart"/>
            <w:r>
              <w:rPr>
                <w:sz w:val="20"/>
                <w:szCs w:val="20"/>
              </w:rPr>
              <w:t>transcript,</w:t>
            </w:r>
            <w:proofErr w:type="gramEnd"/>
            <w:r>
              <w:rPr>
                <w:sz w:val="20"/>
                <w:szCs w:val="20"/>
              </w:rPr>
              <w:t xml:space="preserve"> hence humans have 20–25k genes, and 40k+ transcripts.</w:t>
            </w:r>
          </w:p>
          <w:p w:rsidR="00AD3A65" w:rsidRDefault="00AD3A65">
            <w:pPr>
              <w:widowControl w:val="0"/>
              <w:pBdr>
                <w:top w:val="nil"/>
                <w:left w:val="nil"/>
                <w:bottom w:val="nil"/>
                <w:right w:val="nil"/>
                <w:between w:val="nil"/>
              </w:pBdr>
              <w:spacing w:before="0" w:line="240" w:lineRule="auto"/>
              <w:rPr>
                <w:sz w:val="20"/>
                <w:szCs w:val="20"/>
              </w:rPr>
            </w:pPr>
          </w:p>
          <w:p w:rsidR="00AD3A65" w:rsidRDefault="00AD3A65">
            <w:pPr>
              <w:widowControl w:val="0"/>
              <w:pBdr>
                <w:top w:val="nil"/>
                <w:left w:val="nil"/>
                <w:bottom w:val="nil"/>
                <w:right w:val="nil"/>
                <w:between w:val="nil"/>
              </w:pBdr>
              <w:spacing w:before="0" w:line="240" w:lineRule="auto"/>
              <w:rPr>
                <w:sz w:val="20"/>
                <w:szCs w:val="20"/>
              </w:rPr>
            </w:pPr>
          </w:p>
        </w:tc>
        <w:tc>
          <w:tcPr>
            <w:tcW w:w="5040"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sz w:val="20"/>
                <w:szCs w:val="20"/>
              </w:rPr>
            </w:pPr>
            <w:r>
              <w:rPr>
                <w:sz w:val="20"/>
                <w:szCs w:val="20"/>
              </w:rPr>
              <w:t>Similar to above. Manhattan plots not generally used for transcriptomic studies as a single gene can produce &gt;1 transcript.</w:t>
            </w:r>
          </w:p>
          <w:p w:rsidR="00AD3A65" w:rsidRDefault="00AD3A65">
            <w:pPr>
              <w:widowControl w:val="0"/>
              <w:pBdr>
                <w:top w:val="nil"/>
                <w:left w:val="nil"/>
                <w:bottom w:val="nil"/>
                <w:right w:val="nil"/>
                <w:between w:val="nil"/>
              </w:pBdr>
              <w:spacing w:before="0" w:line="240" w:lineRule="auto"/>
              <w:rPr>
                <w:sz w:val="20"/>
                <w:szCs w:val="20"/>
              </w:rPr>
            </w:pPr>
          </w:p>
          <w:p w:rsidR="00AD3A65" w:rsidRDefault="00ED1F13">
            <w:pPr>
              <w:widowControl w:val="0"/>
              <w:pBdr>
                <w:top w:val="nil"/>
                <w:left w:val="nil"/>
                <w:bottom w:val="nil"/>
                <w:right w:val="nil"/>
                <w:between w:val="nil"/>
              </w:pBdr>
              <w:spacing w:before="0" w:line="240" w:lineRule="auto"/>
              <w:rPr>
                <w:sz w:val="20"/>
                <w:szCs w:val="20"/>
              </w:rPr>
            </w:pPr>
            <w:r>
              <w:rPr>
                <w:sz w:val="20"/>
                <w:szCs w:val="20"/>
              </w:rPr>
              <w:t xml:space="preserve">Results of univariate analysis often presented in volcano plots (below), where the x-axis is the regression coefficient and the y axis is the </w:t>
            </w:r>
            <w:proofErr w:type="spellStart"/>
            <w:r>
              <w:rPr>
                <w:sz w:val="20"/>
                <w:szCs w:val="20"/>
              </w:rPr>
              <w:t>pvalue</w:t>
            </w:r>
            <w:proofErr w:type="spellEnd"/>
            <w:r>
              <w:rPr>
                <w:sz w:val="20"/>
                <w:szCs w:val="20"/>
              </w:rPr>
              <w:t xml:space="preserve"> (-log10, so higher value = more significant).</w:t>
            </w:r>
          </w:p>
          <w:p w:rsidR="00AD3A65" w:rsidRDefault="00AD3A65">
            <w:pPr>
              <w:widowControl w:val="0"/>
              <w:pBdr>
                <w:top w:val="nil"/>
                <w:left w:val="nil"/>
                <w:bottom w:val="nil"/>
                <w:right w:val="nil"/>
                <w:between w:val="nil"/>
              </w:pBdr>
              <w:spacing w:before="0" w:line="240" w:lineRule="auto"/>
              <w:rPr>
                <w:sz w:val="20"/>
                <w:szCs w:val="20"/>
              </w:rPr>
            </w:pPr>
          </w:p>
          <w:p w:rsidR="00AD3A65" w:rsidRDefault="00ED1F13">
            <w:pPr>
              <w:widowControl w:val="0"/>
              <w:pBdr>
                <w:top w:val="nil"/>
                <w:left w:val="nil"/>
                <w:bottom w:val="nil"/>
                <w:right w:val="nil"/>
                <w:between w:val="nil"/>
              </w:pBdr>
              <w:spacing w:before="0" w:line="240" w:lineRule="auto"/>
              <w:rPr>
                <w:sz w:val="20"/>
                <w:szCs w:val="20"/>
              </w:rPr>
            </w:pPr>
            <w:r>
              <w:rPr>
                <w:noProof/>
                <w:sz w:val="20"/>
                <w:szCs w:val="20"/>
              </w:rPr>
              <w:lastRenderedPageBreak/>
              <w:drawing>
                <wp:inline distT="114300" distB="114300" distL="114300" distR="114300">
                  <wp:extent cx="3035662" cy="3070555"/>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3035662" cy="3070555"/>
                          </a:xfrm>
                          <a:prstGeom prst="rect">
                            <a:avLst/>
                          </a:prstGeom>
                          <a:ln/>
                        </pic:spPr>
                      </pic:pic>
                    </a:graphicData>
                  </a:graphic>
                </wp:inline>
              </w:drawing>
            </w:r>
          </w:p>
          <w:p w:rsidR="00AD3A65" w:rsidRDefault="00AD3A65">
            <w:pPr>
              <w:widowControl w:val="0"/>
              <w:pBdr>
                <w:top w:val="nil"/>
                <w:left w:val="nil"/>
                <w:bottom w:val="nil"/>
                <w:right w:val="nil"/>
                <w:between w:val="nil"/>
              </w:pBdr>
              <w:spacing w:before="0" w:line="240" w:lineRule="auto"/>
              <w:rPr>
                <w:sz w:val="20"/>
                <w:szCs w:val="20"/>
              </w:rPr>
            </w:pPr>
          </w:p>
          <w:p w:rsidR="00AD3A65" w:rsidRDefault="00AD3A65">
            <w:pPr>
              <w:widowControl w:val="0"/>
              <w:pBdr>
                <w:top w:val="nil"/>
                <w:left w:val="nil"/>
                <w:bottom w:val="nil"/>
                <w:right w:val="nil"/>
                <w:between w:val="nil"/>
              </w:pBdr>
              <w:spacing w:before="0" w:line="240" w:lineRule="auto"/>
              <w:rPr>
                <w:sz w:val="20"/>
                <w:szCs w:val="20"/>
              </w:rPr>
            </w:pPr>
          </w:p>
          <w:p w:rsidR="00AD3A65" w:rsidRDefault="00AD3A65">
            <w:pPr>
              <w:widowControl w:val="0"/>
              <w:pBdr>
                <w:top w:val="nil"/>
                <w:left w:val="nil"/>
                <w:bottom w:val="nil"/>
                <w:right w:val="nil"/>
                <w:between w:val="nil"/>
              </w:pBdr>
              <w:spacing w:before="0" w:line="240" w:lineRule="auto"/>
              <w:rPr>
                <w:sz w:val="20"/>
                <w:szCs w:val="20"/>
              </w:rPr>
            </w:pPr>
          </w:p>
        </w:tc>
        <w:tc>
          <w:tcPr>
            <w:tcW w:w="2910"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sz w:val="20"/>
                <w:szCs w:val="20"/>
              </w:rPr>
            </w:pPr>
            <w:r>
              <w:rPr>
                <w:sz w:val="20"/>
                <w:szCs w:val="20"/>
              </w:rPr>
              <w:lastRenderedPageBreak/>
              <w:t xml:space="preserve">As with epigenetics, the transcriptome is altered by exposures and changes over </w:t>
            </w:r>
            <w:proofErr w:type="spellStart"/>
            <w:proofErr w:type="gramStart"/>
            <w:r>
              <w:rPr>
                <w:sz w:val="20"/>
                <w:szCs w:val="20"/>
              </w:rPr>
              <w:t>time.Also</w:t>
            </w:r>
            <w:proofErr w:type="spellEnd"/>
            <w:proofErr w:type="gramEnd"/>
            <w:r>
              <w:rPr>
                <w:sz w:val="20"/>
                <w:szCs w:val="20"/>
              </w:rPr>
              <w:t xml:space="preserve">, different cell types and organs are differentiated and while sharing </w:t>
            </w:r>
            <w:proofErr w:type="spellStart"/>
            <w:r>
              <w:rPr>
                <w:sz w:val="20"/>
                <w:szCs w:val="20"/>
              </w:rPr>
              <w:t>they</w:t>
            </w:r>
            <w:proofErr w:type="spellEnd"/>
            <w:r>
              <w:rPr>
                <w:sz w:val="20"/>
                <w:szCs w:val="20"/>
              </w:rPr>
              <w:t xml:space="preserve"> same genome, they have distinct transcription profiles.</w:t>
            </w:r>
          </w:p>
        </w:tc>
      </w:tr>
      <w:tr w:rsidR="00AD3A65">
        <w:tc>
          <w:tcPr>
            <w:tcW w:w="1575"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b/>
                <w:sz w:val="20"/>
                <w:szCs w:val="20"/>
              </w:rPr>
            </w:pPr>
            <w:r>
              <w:rPr>
                <w:b/>
                <w:sz w:val="20"/>
                <w:szCs w:val="20"/>
              </w:rPr>
              <w:t>Proteomics</w:t>
            </w:r>
          </w:p>
          <w:p w:rsidR="00AD3A65" w:rsidRDefault="00ED1F13">
            <w:pPr>
              <w:widowControl w:val="0"/>
              <w:pBdr>
                <w:top w:val="nil"/>
                <w:left w:val="nil"/>
                <w:bottom w:val="nil"/>
                <w:right w:val="nil"/>
                <w:between w:val="nil"/>
              </w:pBdr>
              <w:spacing w:before="0" w:line="240" w:lineRule="auto"/>
              <w:rPr>
                <w:sz w:val="20"/>
                <w:szCs w:val="20"/>
              </w:rPr>
            </w:pPr>
            <w:r>
              <w:rPr>
                <w:sz w:val="20"/>
                <w:szCs w:val="20"/>
              </w:rPr>
              <w:t>Proteomic studies</w:t>
            </w:r>
          </w:p>
        </w:tc>
        <w:tc>
          <w:tcPr>
            <w:tcW w:w="1695"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sz w:val="20"/>
                <w:szCs w:val="20"/>
              </w:rPr>
            </w:pPr>
            <w:r>
              <w:rPr>
                <w:sz w:val="20"/>
                <w:szCs w:val="20"/>
              </w:rPr>
              <w:t>Proteins</w:t>
            </w:r>
          </w:p>
        </w:tc>
        <w:tc>
          <w:tcPr>
            <w:tcW w:w="1845"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sz w:val="20"/>
                <w:szCs w:val="20"/>
              </w:rPr>
            </w:pPr>
            <w:r>
              <w:rPr>
                <w:sz w:val="20"/>
                <w:szCs w:val="20"/>
              </w:rPr>
              <w:t xml:space="preserve">Mass </w:t>
            </w:r>
            <w:proofErr w:type="spellStart"/>
            <w:r>
              <w:rPr>
                <w:sz w:val="20"/>
                <w:szCs w:val="20"/>
              </w:rPr>
              <w:t>specrometry</w:t>
            </w:r>
            <w:proofErr w:type="spellEnd"/>
            <w:r>
              <w:rPr>
                <w:sz w:val="20"/>
                <w:szCs w:val="20"/>
              </w:rPr>
              <w:t xml:space="preserve"> / Microarrays</w:t>
            </w:r>
          </w:p>
        </w:tc>
        <w:tc>
          <w:tcPr>
            <w:tcW w:w="2670"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sz w:val="20"/>
                <w:szCs w:val="20"/>
              </w:rPr>
            </w:pPr>
            <w:r>
              <w:rPr>
                <w:sz w:val="20"/>
                <w:szCs w:val="20"/>
              </w:rPr>
              <w:t>A wide data set with ~10k proteins.</w:t>
            </w:r>
          </w:p>
          <w:p w:rsidR="00AD3A65" w:rsidRDefault="00AD3A65">
            <w:pPr>
              <w:widowControl w:val="0"/>
              <w:pBdr>
                <w:top w:val="nil"/>
                <w:left w:val="nil"/>
                <w:bottom w:val="nil"/>
                <w:right w:val="nil"/>
                <w:between w:val="nil"/>
              </w:pBdr>
              <w:spacing w:before="0" w:line="240" w:lineRule="auto"/>
              <w:rPr>
                <w:sz w:val="20"/>
                <w:szCs w:val="20"/>
              </w:rPr>
            </w:pPr>
          </w:p>
          <w:p w:rsidR="00AD3A65" w:rsidRDefault="00ED1F13">
            <w:pPr>
              <w:widowControl w:val="0"/>
              <w:pBdr>
                <w:top w:val="nil"/>
                <w:left w:val="nil"/>
                <w:bottom w:val="nil"/>
                <w:right w:val="nil"/>
                <w:between w:val="nil"/>
              </w:pBdr>
              <w:spacing w:before="0" w:line="240" w:lineRule="auto"/>
              <w:rPr>
                <w:sz w:val="20"/>
                <w:szCs w:val="20"/>
              </w:rPr>
            </w:pPr>
            <w:r>
              <w:rPr>
                <w:sz w:val="20"/>
                <w:szCs w:val="20"/>
              </w:rPr>
              <w:t>Each data point is a continuous numerical value representing the mass-to-charge ratio of the given protein, which is a way of quantifying the protein molecules.</w:t>
            </w:r>
          </w:p>
          <w:p w:rsidR="00AD3A65" w:rsidRDefault="00AD3A65">
            <w:pPr>
              <w:widowControl w:val="0"/>
              <w:pBdr>
                <w:top w:val="nil"/>
                <w:left w:val="nil"/>
                <w:bottom w:val="nil"/>
                <w:right w:val="nil"/>
                <w:between w:val="nil"/>
              </w:pBdr>
              <w:spacing w:before="0" w:line="240" w:lineRule="auto"/>
              <w:rPr>
                <w:sz w:val="20"/>
                <w:szCs w:val="20"/>
              </w:rPr>
            </w:pPr>
          </w:p>
          <w:p w:rsidR="00AD3A65" w:rsidRDefault="00ED1F13">
            <w:pPr>
              <w:widowControl w:val="0"/>
              <w:pBdr>
                <w:top w:val="nil"/>
                <w:left w:val="nil"/>
                <w:bottom w:val="nil"/>
                <w:right w:val="nil"/>
                <w:between w:val="nil"/>
              </w:pBdr>
              <w:spacing w:before="0" w:line="240" w:lineRule="auto"/>
              <w:rPr>
                <w:sz w:val="20"/>
                <w:szCs w:val="20"/>
              </w:rPr>
            </w:pPr>
            <w:r>
              <w:rPr>
                <w:sz w:val="20"/>
                <w:szCs w:val="20"/>
              </w:rPr>
              <w:t xml:space="preserve">Values are scaled </w:t>
            </w:r>
            <w:proofErr w:type="spellStart"/>
            <w:r>
              <w:rPr>
                <w:sz w:val="20"/>
                <w:szCs w:val="20"/>
              </w:rPr>
              <w:t>normalised</w:t>
            </w:r>
            <w:proofErr w:type="spellEnd"/>
            <w:r>
              <w:rPr>
                <w:sz w:val="20"/>
                <w:szCs w:val="20"/>
              </w:rPr>
              <w:t xml:space="preserve"> so they should be roughly standard normally distributed </w:t>
            </w:r>
            <w:r>
              <w:rPr>
                <w:sz w:val="20"/>
                <w:szCs w:val="20"/>
              </w:rPr>
              <w:br/>
              <w:t>(mean = 0, SD=1)</w:t>
            </w:r>
          </w:p>
          <w:p w:rsidR="00AD3A65" w:rsidRDefault="00AD3A65">
            <w:pPr>
              <w:widowControl w:val="0"/>
              <w:pBdr>
                <w:top w:val="nil"/>
                <w:left w:val="nil"/>
                <w:bottom w:val="nil"/>
                <w:right w:val="nil"/>
                <w:between w:val="nil"/>
              </w:pBdr>
              <w:spacing w:before="0" w:line="240" w:lineRule="auto"/>
              <w:rPr>
                <w:sz w:val="20"/>
                <w:szCs w:val="20"/>
                <w:highlight w:val="yellow"/>
              </w:rPr>
            </w:pPr>
          </w:p>
          <w:p w:rsidR="00AD3A65" w:rsidRDefault="00ED1F13">
            <w:pPr>
              <w:widowControl w:val="0"/>
              <w:pBdr>
                <w:top w:val="nil"/>
                <w:left w:val="nil"/>
                <w:bottom w:val="nil"/>
                <w:right w:val="nil"/>
                <w:between w:val="nil"/>
              </w:pBdr>
              <w:spacing w:before="0" w:line="240" w:lineRule="auto"/>
              <w:rPr>
                <w:sz w:val="20"/>
                <w:szCs w:val="20"/>
              </w:rPr>
            </w:pPr>
            <w:r>
              <w:rPr>
                <w:sz w:val="20"/>
                <w:szCs w:val="20"/>
              </w:rPr>
              <w:t>Easily accessible data set available here:</w:t>
            </w:r>
          </w:p>
          <w:p w:rsidR="00AD3A65" w:rsidRDefault="009F0234">
            <w:pPr>
              <w:widowControl w:val="0"/>
              <w:pBdr>
                <w:top w:val="nil"/>
                <w:left w:val="nil"/>
                <w:bottom w:val="nil"/>
                <w:right w:val="nil"/>
                <w:between w:val="nil"/>
              </w:pBdr>
              <w:spacing w:before="0" w:line="240" w:lineRule="auto"/>
              <w:rPr>
                <w:sz w:val="20"/>
                <w:szCs w:val="20"/>
              </w:rPr>
            </w:pPr>
            <w:hyperlink r:id="rId16">
              <w:r w:rsidR="00ED1F13">
                <w:rPr>
                  <w:color w:val="1155CC"/>
                  <w:sz w:val="20"/>
                  <w:szCs w:val="20"/>
                  <w:u w:val="single"/>
                </w:rPr>
                <w:t>https://www.kaggle.com/piotrgrabo/breastcancerproteomes</w:t>
              </w:r>
            </w:hyperlink>
          </w:p>
        </w:tc>
        <w:tc>
          <w:tcPr>
            <w:tcW w:w="5040"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sz w:val="20"/>
                <w:szCs w:val="20"/>
              </w:rPr>
            </w:pPr>
            <w:r>
              <w:rPr>
                <w:sz w:val="20"/>
                <w:szCs w:val="20"/>
              </w:rPr>
              <w:t>Similar to above.</w:t>
            </w:r>
          </w:p>
        </w:tc>
        <w:tc>
          <w:tcPr>
            <w:tcW w:w="2910"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sz w:val="20"/>
                <w:szCs w:val="20"/>
              </w:rPr>
            </w:pPr>
            <w:r>
              <w:rPr>
                <w:sz w:val="20"/>
                <w:szCs w:val="20"/>
              </w:rPr>
              <w:t>The proteome is altered by exposure and over time.</w:t>
            </w:r>
          </w:p>
          <w:p w:rsidR="00AD3A65" w:rsidRDefault="00AD3A65">
            <w:pPr>
              <w:widowControl w:val="0"/>
              <w:pBdr>
                <w:top w:val="nil"/>
                <w:left w:val="nil"/>
                <w:bottom w:val="nil"/>
                <w:right w:val="nil"/>
                <w:between w:val="nil"/>
              </w:pBdr>
              <w:spacing w:before="0" w:line="240" w:lineRule="auto"/>
              <w:rPr>
                <w:sz w:val="20"/>
                <w:szCs w:val="20"/>
              </w:rPr>
            </w:pPr>
          </w:p>
          <w:p w:rsidR="00AD3A65" w:rsidRDefault="00AD3A65">
            <w:pPr>
              <w:widowControl w:val="0"/>
              <w:pBdr>
                <w:top w:val="nil"/>
                <w:left w:val="nil"/>
                <w:bottom w:val="nil"/>
                <w:right w:val="nil"/>
                <w:between w:val="nil"/>
              </w:pBdr>
              <w:spacing w:before="0" w:line="240" w:lineRule="auto"/>
              <w:rPr>
                <w:sz w:val="20"/>
                <w:szCs w:val="20"/>
              </w:rPr>
            </w:pPr>
          </w:p>
        </w:tc>
      </w:tr>
      <w:tr w:rsidR="00AD3A65">
        <w:tc>
          <w:tcPr>
            <w:tcW w:w="1575"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b/>
                <w:sz w:val="20"/>
                <w:szCs w:val="20"/>
              </w:rPr>
            </w:pPr>
            <w:r>
              <w:rPr>
                <w:b/>
                <w:sz w:val="20"/>
                <w:szCs w:val="20"/>
              </w:rPr>
              <w:t>Metabolomics</w:t>
            </w:r>
          </w:p>
        </w:tc>
        <w:tc>
          <w:tcPr>
            <w:tcW w:w="1695"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sz w:val="20"/>
                <w:szCs w:val="20"/>
              </w:rPr>
            </w:pPr>
            <w:r>
              <w:rPr>
                <w:sz w:val="20"/>
                <w:szCs w:val="20"/>
              </w:rPr>
              <w:t>Metabolites</w:t>
            </w:r>
          </w:p>
        </w:tc>
        <w:tc>
          <w:tcPr>
            <w:tcW w:w="1845"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sz w:val="20"/>
                <w:szCs w:val="20"/>
              </w:rPr>
            </w:pPr>
            <w:r>
              <w:rPr>
                <w:sz w:val="20"/>
                <w:szCs w:val="20"/>
              </w:rPr>
              <w:t>Mass spec /NMR spectroscopy</w:t>
            </w:r>
          </w:p>
        </w:tc>
        <w:tc>
          <w:tcPr>
            <w:tcW w:w="2670"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sz w:val="20"/>
                <w:szCs w:val="20"/>
              </w:rPr>
            </w:pPr>
            <w:r>
              <w:rPr>
                <w:sz w:val="20"/>
                <w:szCs w:val="20"/>
              </w:rPr>
              <w:t>A wide data set of 15–20k metabolites.</w:t>
            </w:r>
          </w:p>
          <w:p w:rsidR="00AD3A65" w:rsidRDefault="00AD3A65">
            <w:pPr>
              <w:widowControl w:val="0"/>
              <w:pBdr>
                <w:top w:val="nil"/>
                <w:left w:val="nil"/>
                <w:bottom w:val="nil"/>
                <w:right w:val="nil"/>
                <w:between w:val="nil"/>
              </w:pBdr>
              <w:spacing w:before="0" w:line="240" w:lineRule="auto"/>
              <w:rPr>
                <w:sz w:val="20"/>
                <w:szCs w:val="20"/>
                <w:highlight w:val="yellow"/>
              </w:rPr>
            </w:pPr>
          </w:p>
          <w:p w:rsidR="00AD3A65" w:rsidRDefault="00ED1F13">
            <w:pPr>
              <w:widowControl w:val="0"/>
              <w:pBdr>
                <w:top w:val="nil"/>
                <w:left w:val="nil"/>
                <w:bottom w:val="nil"/>
                <w:right w:val="nil"/>
                <w:between w:val="nil"/>
              </w:pBdr>
              <w:spacing w:before="0" w:line="240" w:lineRule="auto"/>
              <w:rPr>
                <w:sz w:val="20"/>
                <w:szCs w:val="20"/>
              </w:rPr>
            </w:pPr>
            <w:r>
              <w:rPr>
                <w:sz w:val="20"/>
                <w:szCs w:val="20"/>
              </w:rPr>
              <w:t xml:space="preserve">As with proteins, data points usually represent </w:t>
            </w:r>
            <w:proofErr w:type="spellStart"/>
            <w:r>
              <w:rPr>
                <w:sz w:val="20"/>
                <w:szCs w:val="20"/>
              </w:rPr>
              <w:t>normalised</w:t>
            </w:r>
            <w:proofErr w:type="spellEnd"/>
            <w:r>
              <w:rPr>
                <w:sz w:val="20"/>
                <w:szCs w:val="20"/>
              </w:rPr>
              <w:t xml:space="preserve"> mass/charge ratio measurements. Expected to be standard normal.</w:t>
            </w:r>
          </w:p>
          <w:p w:rsidR="00AD3A65" w:rsidRDefault="00AD3A65">
            <w:pPr>
              <w:widowControl w:val="0"/>
              <w:pBdr>
                <w:top w:val="nil"/>
                <w:left w:val="nil"/>
                <w:bottom w:val="nil"/>
                <w:right w:val="nil"/>
                <w:between w:val="nil"/>
              </w:pBdr>
              <w:spacing w:before="0" w:line="240" w:lineRule="auto"/>
              <w:rPr>
                <w:sz w:val="20"/>
                <w:szCs w:val="20"/>
              </w:rPr>
            </w:pPr>
          </w:p>
          <w:p w:rsidR="00AD3A65" w:rsidRDefault="00ED1F13">
            <w:pPr>
              <w:widowControl w:val="0"/>
              <w:pBdr>
                <w:top w:val="nil"/>
                <w:left w:val="nil"/>
                <w:bottom w:val="nil"/>
                <w:right w:val="nil"/>
                <w:between w:val="nil"/>
              </w:pBdr>
              <w:spacing w:before="0" w:line="240" w:lineRule="auto"/>
              <w:rPr>
                <w:sz w:val="20"/>
                <w:szCs w:val="20"/>
              </w:rPr>
            </w:pPr>
            <w:r>
              <w:rPr>
                <w:sz w:val="20"/>
                <w:szCs w:val="20"/>
              </w:rPr>
              <w:t xml:space="preserve">Data sets available here: </w:t>
            </w:r>
            <w:hyperlink r:id="rId17">
              <w:r>
                <w:rPr>
                  <w:color w:val="1155CC"/>
                  <w:sz w:val="20"/>
                  <w:szCs w:val="20"/>
                  <w:u w:val="single"/>
                </w:rPr>
                <w:t>http://www.metabolomexchange.org/site/</w:t>
              </w:r>
            </w:hyperlink>
          </w:p>
        </w:tc>
        <w:tc>
          <w:tcPr>
            <w:tcW w:w="5040" w:type="dxa"/>
            <w:shd w:val="clear" w:color="auto" w:fill="auto"/>
            <w:tcMar>
              <w:top w:w="100" w:type="dxa"/>
              <w:left w:w="100" w:type="dxa"/>
              <w:bottom w:w="100" w:type="dxa"/>
              <w:right w:w="100" w:type="dxa"/>
            </w:tcMar>
          </w:tcPr>
          <w:p w:rsidR="00AD3A65" w:rsidRDefault="00ED1F13">
            <w:pPr>
              <w:widowControl w:val="0"/>
              <w:pBdr>
                <w:top w:val="nil"/>
                <w:left w:val="nil"/>
                <w:bottom w:val="nil"/>
                <w:right w:val="nil"/>
                <w:between w:val="nil"/>
              </w:pBdr>
              <w:spacing w:before="0" w:line="240" w:lineRule="auto"/>
              <w:rPr>
                <w:sz w:val="20"/>
                <w:szCs w:val="20"/>
              </w:rPr>
            </w:pPr>
            <w:r>
              <w:rPr>
                <w:sz w:val="20"/>
                <w:szCs w:val="20"/>
              </w:rPr>
              <w:t>Similar to above</w:t>
            </w:r>
          </w:p>
        </w:tc>
        <w:tc>
          <w:tcPr>
            <w:tcW w:w="2910" w:type="dxa"/>
            <w:shd w:val="clear" w:color="auto" w:fill="auto"/>
            <w:tcMar>
              <w:top w:w="100" w:type="dxa"/>
              <w:left w:w="100" w:type="dxa"/>
              <w:bottom w:w="100" w:type="dxa"/>
              <w:right w:w="100" w:type="dxa"/>
            </w:tcMar>
          </w:tcPr>
          <w:p w:rsidR="00AD3A65" w:rsidRDefault="00ED1F13">
            <w:pPr>
              <w:widowControl w:val="0"/>
              <w:spacing w:before="0" w:line="240" w:lineRule="auto"/>
              <w:rPr>
                <w:sz w:val="20"/>
                <w:szCs w:val="20"/>
              </w:rPr>
            </w:pPr>
            <w:r>
              <w:rPr>
                <w:sz w:val="20"/>
                <w:szCs w:val="20"/>
              </w:rPr>
              <w:t>The metabolome is altered by exposure and over time.</w:t>
            </w:r>
          </w:p>
          <w:p w:rsidR="00AD3A65" w:rsidRDefault="00AD3A65">
            <w:pPr>
              <w:widowControl w:val="0"/>
              <w:spacing w:before="0" w:line="240" w:lineRule="auto"/>
              <w:rPr>
                <w:sz w:val="20"/>
                <w:szCs w:val="20"/>
              </w:rPr>
            </w:pPr>
          </w:p>
          <w:p w:rsidR="00AD3A65" w:rsidRDefault="00AD3A65">
            <w:pPr>
              <w:widowControl w:val="0"/>
              <w:spacing w:before="0" w:line="240" w:lineRule="auto"/>
              <w:rPr>
                <w:sz w:val="20"/>
                <w:szCs w:val="20"/>
              </w:rPr>
            </w:pPr>
          </w:p>
        </w:tc>
      </w:tr>
    </w:tbl>
    <w:p w:rsidR="00AD3A65" w:rsidRDefault="00AD3A65">
      <w:pPr>
        <w:pBdr>
          <w:top w:val="nil"/>
          <w:left w:val="nil"/>
          <w:bottom w:val="nil"/>
          <w:right w:val="nil"/>
          <w:between w:val="nil"/>
        </w:pBdr>
      </w:pPr>
    </w:p>
    <w:p w:rsidR="00AD3A65" w:rsidRDefault="00ED1F13" w:rsidP="00224080">
      <w:pPr>
        <w:pStyle w:val="Heading2"/>
        <w:spacing w:line="240" w:lineRule="auto"/>
      </w:pPr>
      <w:bookmarkStart w:id="9" w:name="_roorem6t90mx" w:colFirst="0" w:colLast="0"/>
      <w:bookmarkEnd w:id="9"/>
      <w:r>
        <w:t>Useful links</w:t>
      </w:r>
    </w:p>
    <w:p w:rsidR="00A7222E" w:rsidRPr="00A7222E" w:rsidRDefault="00A7222E" w:rsidP="00224080">
      <w:pPr>
        <w:spacing w:line="240" w:lineRule="auto"/>
        <w:rPr>
          <w:b/>
          <w:bCs/>
          <w:lang w:val="en-GB"/>
        </w:rPr>
      </w:pPr>
      <w:r w:rsidRPr="00A7222E">
        <w:rPr>
          <w:b/>
          <w:bCs/>
          <w:lang w:val="en-GB"/>
        </w:rPr>
        <w:t xml:space="preserve">Explanations of concepts related to 1) DNA </w:t>
      </w:r>
    </w:p>
    <w:p w:rsidR="00A7222E" w:rsidRPr="00A7222E" w:rsidRDefault="00A7222E" w:rsidP="00224080">
      <w:pPr>
        <w:numPr>
          <w:ilvl w:val="0"/>
          <w:numId w:val="1"/>
        </w:numPr>
        <w:spacing w:line="240" w:lineRule="auto"/>
        <w:rPr>
          <w:lang w:val="en-GB"/>
        </w:rPr>
      </w:pPr>
      <w:r w:rsidRPr="00A7222E">
        <w:rPr>
          <w:lang w:val="en-GB"/>
        </w:rPr>
        <w:t>Basic explanation of the genome:</w:t>
      </w:r>
    </w:p>
    <w:p w:rsidR="00A7222E" w:rsidRPr="00A7222E" w:rsidRDefault="009F0234" w:rsidP="00224080">
      <w:pPr>
        <w:spacing w:line="240" w:lineRule="auto"/>
        <w:rPr>
          <w:lang w:val="en-GB"/>
        </w:rPr>
      </w:pPr>
      <w:hyperlink r:id="rId18" w:history="1">
        <w:r w:rsidR="00A7222E" w:rsidRPr="00A7222E">
          <w:rPr>
            <w:rStyle w:val="Hyperlink"/>
            <w:lang w:val="en-GB"/>
          </w:rPr>
          <w:t>https://www.genome.gov/About-Genomics/Introduction-to-Genomics</w:t>
        </w:r>
      </w:hyperlink>
    </w:p>
    <w:p w:rsidR="00A7222E" w:rsidRPr="00A7222E" w:rsidRDefault="00A7222E" w:rsidP="00224080">
      <w:pPr>
        <w:spacing w:line="240" w:lineRule="auto"/>
        <w:rPr>
          <w:lang w:val="en-GB"/>
        </w:rPr>
      </w:pPr>
    </w:p>
    <w:p w:rsidR="00A7222E" w:rsidRPr="00A7222E" w:rsidRDefault="00A7222E" w:rsidP="00224080">
      <w:pPr>
        <w:numPr>
          <w:ilvl w:val="0"/>
          <w:numId w:val="1"/>
        </w:numPr>
        <w:spacing w:line="240" w:lineRule="auto"/>
        <w:rPr>
          <w:lang w:val="en-GB"/>
        </w:rPr>
      </w:pPr>
      <w:r w:rsidRPr="00A7222E">
        <w:rPr>
          <w:lang w:val="en-GB"/>
        </w:rPr>
        <w:t>DNA Sequencing:</w:t>
      </w:r>
    </w:p>
    <w:p w:rsidR="00A7222E" w:rsidRPr="00A7222E" w:rsidRDefault="009F0234" w:rsidP="00224080">
      <w:pPr>
        <w:spacing w:line="240" w:lineRule="auto"/>
        <w:rPr>
          <w:lang w:val="en-GB"/>
        </w:rPr>
      </w:pPr>
      <w:hyperlink r:id="rId19" w:history="1">
        <w:r w:rsidR="00A7222E" w:rsidRPr="00A7222E">
          <w:rPr>
            <w:rStyle w:val="Hyperlink"/>
            <w:lang w:val="en-GB"/>
          </w:rPr>
          <w:t>https://www.genome.gov/about-genomics/fact-sheets/DNA-Sequencing-Fact-Sheet</w:t>
        </w:r>
      </w:hyperlink>
    </w:p>
    <w:p w:rsidR="00A7222E" w:rsidRPr="00A7222E" w:rsidRDefault="00A7222E" w:rsidP="00224080">
      <w:pPr>
        <w:spacing w:line="240" w:lineRule="auto"/>
        <w:rPr>
          <w:lang w:val="en-GB"/>
        </w:rPr>
      </w:pPr>
    </w:p>
    <w:p w:rsidR="00A7222E" w:rsidRPr="00A7222E" w:rsidRDefault="00A7222E" w:rsidP="00224080">
      <w:pPr>
        <w:numPr>
          <w:ilvl w:val="0"/>
          <w:numId w:val="1"/>
        </w:numPr>
        <w:spacing w:line="240" w:lineRule="auto"/>
        <w:rPr>
          <w:lang w:val="en-GB"/>
        </w:rPr>
      </w:pPr>
      <w:r w:rsidRPr="00A7222E">
        <w:rPr>
          <w:lang w:val="en-GB"/>
        </w:rPr>
        <w:t>DNA Microarray Technology:</w:t>
      </w:r>
    </w:p>
    <w:p w:rsidR="00A7222E" w:rsidRPr="00A7222E" w:rsidRDefault="009F0234" w:rsidP="00224080">
      <w:pPr>
        <w:spacing w:line="240" w:lineRule="auto"/>
        <w:rPr>
          <w:lang w:val="en-GB"/>
        </w:rPr>
      </w:pPr>
      <w:hyperlink r:id="rId20" w:history="1">
        <w:r w:rsidR="00A7222E" w:rsidRPr="00A7222E">
          <w:rPr>
            <w:rStyle w:val="Hyperlink"/>
            <w:lang w:val="en-GB"/>
          </w:rPr>
          <w:t>https://www.genome.gov/about-genomics/fact-sheets/DNA-Microarray-Technology</w:t>
        </w:r>
      </w:hyperlink>
    </w:p>
    <w:p w:rsidR="00A7222E" w:rsidRPr="00A7222E" w:rsidRDefault="00A7222E" w:rsidP="00224080">
      <w:pPr>
        <w:spacing w:line="240" w:lineRule="auto"/>
        <w:rPr>
          <w:lang w:val="en-GB"/>
        </w:rPr>
      </w:pPr>
    </w:p>
    <w:p w:rsidR="00A7222E" w:rsidRPr="00A7222E" w:rsidRDefault="00A7222E" w:rsidP="00224080">
      <w:pPr>
        <w:numPr>
          <w:ilvl w:val="0"/>
          <w:numId w:val="1"/>
        </w:numPr>
        <w:spacing w:line="240" w:lineRule="auto"/>
        <w:rPr>
          <w:lang w:val="en-GB"/>
        </w:rPr>
      </w:pPr>
      <w:r w:rsidRPr="00A7222E">
        <w:rPr>
          <w:lang w:val="en-GB"/>
        </w:rPr>
        <w:t>Basic explanation of GWAS:</w:t>
      </w:r>
    </w:p>
    <w:p w:rsidR="00A7222E" w:rsidRPr="00A7222E" w:rsidRDefault="009F0234" w:rsidP="00224080">
      <w:pPr>
        <w:spacing w:line="240" w:lineRule="auto"/>
        <w:rPr>
          <w:u w:val="single"/>
          <w:lang w:val="en-GB"/>
        </w:rPr>
      </w:pPr>
      <w:hyperlink r:id="rId21" w:history="1">
        <w:r w:rsidR="00A7222E" w:rsidRPr="00A7222E">
          <w:rPr>
            <w:rStyle w:val="Hyperlink"/>
            <w:lang w:val="en-GB"/>
          </w:rPr>
          <w:t>https://www.genome.gov/about-genomics/fact-sheets/Genome-Wide-Association-Studies-Fact-Sheet</w:t>
        </w:r>
      </w:hyperlink>
    </w:p>
    <w:p w:rsidR="00A7222E" w:rsidRPr="00A7222E" w:rsidRDefault="00A7222E" w:rsidP="00224080">
      <w:pPr>
        <w:spacing w:line="240" w:lineRule="auto"/>
        <w:rPr>
          <w:u w:val="single"/>
          <w:lang w:val="en-GB"/>
        </w:rPr>
      </w:pPr>
    </w:p>
    <w:p w:rsidR="00A7222E" w:rsidRPr="00A7222E" w:rsidRDefault="00A7222E" w:rsidP="00224080">
      <w:pPr>
        <w:numPr>
          <w:ilvl w:val="0"/>
          <w:numId w:val="1"/>
        </w:numPr>
        <w:spacing w:line="240" w:lineRule="auto"/>
        <w:rPr>
          <w:lang w:val="en-GB"/>
        </w:rPr>
      </w:pPr>
      <w:r w:rsidRPr="00A7222E">
        <w:rPr>
          <w:lang w:val="en-GB"/>
        </w:rPr>
        <w:t>More in-depth explanation of GWAS</w:t>
      </w:r>
    </w:p>
    <w:p w:rsidR="00A7222E" w:rsidRPr="00A7222E" w:rsidRDefault="009F0234" w:rsidP="00224080">
      <w:pPr>
        <w:spacing w:line="240" w:lineRule="auto"/>
        <w:rPr>
          <w:u w:val="single"/>
          <w:lang w:val="en-GB"/>
        </w:rPr>
      </w:pPr>
      <w:hyperlink r:id="rId22">
        <w:r w:rsidR="00A7222E" w:rsidRPr="00A7222E">
          <w:rPr>
            <w:rStyle w:val="Hyperlink"/>
            <w:lang w:val="en-GB"/>
          </w:rPr>
          <w:t>https://www.ncbi.nlm.nih.gov/pmc/articles/PMC3531285/</w:t>
        </w:r>
      </w:hyperlink>
    </w:p>
    <w:p w:rsidR="00A7222E" w:rsidRPr="00A7222E" w:rsidRDefault="00A7222E" w:rsidP="00224080">
      <w:pPr>
        <w:spacing w:line="240" w:lineRule="auto"/>
        <w:rPr>
          <w:u w:val="single"/>
          <w:lang w:val="en-GB"/>
        </w:rPr>
      </w:pPr>
    </w:p>
    <w:p w:rsidR="00A7222E" w:rsidRPr="00A7222E" w:rsidRDefault="00A7222E" w:rsidP="00224080">
      <w:pPr>
        <w:numPr>
          <w:ilvl w:val="0"/>
          <w:numId w:val="1"/>
        </w:numPr>
        <w:spacing w:line="240" w:lineRule="auto"/>
        <w:rPr>
          <w:lang w:val="en-GB"/>
        </w:rPr>
      </w:pPr>
      <w:r w:rsidRPr="00A7222E">
        <w:rPr>
          <w:lang w:val="en-GB"/>
        </w:rPr>
        <w:t>List of all GWAS published</w:t>
      </w:r>
    </w:p>
    <w:p w:rsidR="00A7222E" w:rsidRPr="00A7222E" w:rsidRDefault="009F0234" w:rsidP="00224080">
      <w:pPr>
        <w:spacing w:line="240" w:lineRule="auto"/>
        <w:rPr>
          <w:lang w:val="en-GB"/>
        </w:rPr>
      </w:pPr>
      <w:hyperlink r:id="rId23">
        <w:r w:rsidR="00A7222E" w:rsidRPr="00A7222E">
          <w:rPr>
            <w:rStyle w:val="Hyperlink"/>
            <w:lang w:val="en-GB"/>
          </w:rPr>
          <w:t>https://www.ebi.ac.uk/gwas/</w:t>
        </w:r>
      </w:hyperlink>
    </w:p>
    <w:p w:rsidR="00A7222E" w:rsidRPr="00A7222E" w:rsidRDefault="00A7222E" w:rsidP="00224080">
      <w:pPr>
        <w:spacing w:line="240" w:lineRule="auto"/>
        <w:rPr>
          <w:lang w:val="en-GB"/>
        </w:rPr>
      </w:pPr>
    </w:p>
    <w:p w:rsidR="00A7222E" w:rsidRPr="00A7222E" w:rsidRDefault="00A7222E" w:rsidP="00224080">
      <w:pPr>
        <w:numPr>
          <w:ilvl w:val="0"/>
          <w:numId w:val="1"/>
        </w:numPr>
        <w:spacing w:line="240" w:lineRule="auto"/>
        <w:rPr>
          <w:lang w:val="en-GB"/>
        </w:rPr>
      </w:pPr>
      <w:r w:rsidRPr="00A7222E">
        <w:rPr>
          <w:lang w:val="en-GB"/>
        </w:rPr>
        <w:t>Polygenic risk scores:</w:t>
      </w:r>
    </w:p>
    <w:p w:rsidR="00A7222E" w:rsidRPr="00A7222E" w:rsidRDefault="009F0234" w:rsidP="00224080">
      <w:pPr>
        <w:spacing w:line="240" w:lineRule="auto"/>
        <w:rPr>
          <w:lang w:val="en-GB"/>
        </w:rPr>
      </w:pPr>
      <w:hyperlink r:id="rId24" w:history="1">
        <w:r w:rsidR="00A7222E" w:rsidRPr="00A7222E">
          <w:rPr>
            <w:rStyle w:val="Hyperlink"/>
            <w:lang w:val="en-GB"/>
          </w:rPr>
          <w:t>https://www.nature.com/articles/d42473-019-00270-w</w:t>
        </w:r>
      </w:hyperlink>
    </w:p>
    <w:p w:rsidR="00A7222E" w:rsidRPr="00A7222E" w:rsidRDefault="00A7222E" w:rsidP="00224080">
      <w:pPr>
        <w:spacing w:line="240" w:lineRule="auto"/>
        <w:rPr>
          <w:lang w:val="en-GB"/>
        </w:rPr>
      </w:pPr>
    </w:p>
    <w:p w:rsidR="00A7222E" w:rsidRPr="00A7222E" w:rsidRDefault="00A7222E" w:rsidP="00224080">
      <w:pPr>
        <w:numPr>
          <w:ilvl w:val="0"/>
          <w:numId w:val="1"/>
        </w:numPr>
        <w:spacing w:line="240" w:lineRule="auto"/>
        <w:rPr>
          <w:lang w:val="en-GB"/>
        </w:rPr>
      </w:pPr>
      <w:r w:rsidRPr="00A7222E">
        <w:rPr>
          <w:lang w:val="en-GB"/>
        </w:rPr>
        <w:t>Linkage disequilibrium:</w:t>
      </w:r>
    </w:p>
    <w:p w:rsidR="00A7222E" w:rsidRPr="00A7222E" w:rsidRDefault="009F0234" w:rsidP="00224080">
      <w:pPr>
        <w:spacing w:line="240" w:lineRule="auto"/>
        <w:rPr>
          <w:lang w:val="en-GB"/>
        </w:rPr>
      </w:pPr>
      <w:hyperlink r:id="rId25" w:anchor=":~:text=Linkage%20disequilibrium%20refers%20to%20the,occur%20at%20the%20expected%20frequencies" w:history="1">
        <w:r w:rsidR="00A7222E" w:rsidRPr="00A7222E">
          <w:rPr>
            <w:rStyle w:val="Hyperlink"/>
            <w:lang w:val="en-GB"/>
          </w:rPr>
          <w:t>https://link.springer.com/referenceworkentry/10.1007%2F978-3-642-16483-5_3368#:~:text=Linkage%20disequilibrium%20refers%20to%20the,occur%20at%20the%20expected%20frequencies</w:t>
        </w:r>
      </w:hyperlink>
    </w:p>
    <w:p w:rsidR="00A7222E" w:rsidRPr="00A7222E" w:rsidRDefault="00A7222E" w:rsidP="00224080">
      <w:pPr>
        <w:spacing w:line="240" w:lineRule="auto"/>
        <w:rPr>
          <w:lang w:val="en-GB"/>
        </w:rPr>
      </w:pPr>
    </w:p>
    <w:p w:rsidR="00A7222E" w:rsidRPr="00A7222E" w:rsidRDefault="00A7222E" w:rsidP="00224080">
      <w:pPr>
        <w:numPr>
          <w:ilvl w:val="0"/>
          <w:numId w:val="1"/>
        </w:numPr>
        <w:spacing w:line="240" w:lineRule="auto"/>
        <w:rPr>
          <w:lang w:val="en-GB"/>
        </w:rPr>
      </w:pPr>
      <w:r w:rsidRPr="00A7222E">
        <w:rPr>
          <w:lang w:val="en-GB"/>
        </w:rPr>
        <w:t>Types of genetic variation:</w:t>
      </w:r>
    </w:p>
    <w:p w:rsidR="00A7222E" w:rsidRPr="00A7222E" w:rsidRDefault="009F0234" w:rsidP="00224080">
      <w:pPr>
        <w:spacing w:line="240" w:lineRule="auto"/>
        <w:rPr>
          <w:lang w:val="en-GB"/>
        </w:rPr>
      </w:pPr>
      <w:hyperlink r:id="rId26" w:history="1">
        <w:r w:rsidR="00A7222E" w:rsidRPr="00A7222E">
          <w:rPr>
            <w:rStyle w:val="Hyperlink"/>
            <w:lang w:val="en-GB"/>
          </w:rPr>
          <w:t>https://www.ebi.ac.uk/training-beta/online/courses/human-genetic-variation-introduction/what-is-genetic-variation/types-of-genetic-variation/</w:t>
        </w:r>
      </w:hyperlink>
    </w:p>
    <w:p w:rsidR="00A7222E" w:rsidRPr="00A7222E" w:rsidRDefault="00A7222E" w:rsidP="00224080">
      <w:pPr>
        <w:spacing w:line="240" w:lineRule="auto"/>
        <w:rPr>
          <w:lang w:val="en-GB"/>
        </w:rPr>
      </w:pPr>
    </w:p>
    <w:p w:rsidR="00A7222E" w:rsidRPr="00A7222E" w:rsidRDefault="00A7222E" w:rsidP="00224080">
      <w:pPr>
        <w:numPr>
          <w:ilvl w:val="0"/>
          <w:numId w:val="1"/>
        </w:numPr>
        <w:spacing w:line="240" w:lineRule="auto"/>
        <w:rPr>
          <w:lang w:val="en-GB"/>
        </w:rPr>
      </w:pPr>
      <w:r w:rsidRPr="00A7222E">
        <w:rPr>
          <w:lang w:val="en-GB"/>
        </w:rPr>
        <w:t>Solving Hardy-Weinberg problems:</w:t>
      </w:r>
    </w:p>
    <w:p w:rsidR="00A7222E" w:rsidRPr="00A7222E" w:rsidRDefault="009F0234" w:rsidP="00224080">
      <w:pPr>
        <w:spacing w:line="240" w:lineRule="auto"/>
        <w:rPr>
          <w:lang w:val="en-GB"/>
        </w:rPr>
      </w:pPr>
      <w:hyperlink r:id="rId27" w:history="1">
        <w:r w:rsidR="00A7222E" w:rsidRPr="00A7222E">
          <w:rPr>
            <w:rStyle w:val="Hyperlink"/>
            <w:lang w:val="en-GB"/>
          </w:rPr>
          <w:t>https://www.youtube.com/watch?v=xPkOAnK20kw</w:t>
        </w:r>
      </w:hyperlink>
      <w:r w:rsidR="00A7222E" w:rsidRPr="00A7222E">
        <w:rPr>
          <w:lang w:val="en-GB"/>
        </w:rPr>
        <w:t xml:space="preserve"> </w:t>
      </w:r>
    </w:p>
    <w:p w:rsidR="00A7222E" w:rsidRPr="00A7222E" w:rsidRDefault="00A7222E" w:rsidP="00224080">
      <w:pPr>
        <w:spacing w:line="240" w:lineRule="auto"/>
        <w:rPr>
          <w:lang w:val="en-GB"/>
        </w:rPr>
      </w:pPr>
    </w:p>
    <w:p w:rsidR="00A7222E" w:rsidRPr="00A7222E" w:rsidRDefault="00A7222E" w:rsidP="00224080">
      <w:pPr>
        <w:spacing w:line="240" w:lineRule="auto"/>
        <w:rPr>
          <w:b/>
          <w:bCs/>
          <w:lang w:val="en-GB"/>
        </w:rPr>
      </w:pPr>
      <w:r w:rsidRPr="00A7222E">
        <w:rPr>
          <w:b/>
          <w:bCs/>
          <w:lang w:val="en-GB"/>
        </w:rPr>
        <w:t>Explanations of concepts related to 2) RNA</w:t>
      </w:r>
    </w:p>
    <w:p w:rsidR="00A7222E" w:rsidRPr="00A7222E" w:rsidRDefault="00A7222E" w:rsidP="00224080">
      <w:pPr>
        <w:spacing w:line="240" w:lineRule="auto"/>
        <w:rPr>
          <w:lang w:val="en-GB"/>
        </w:rPr>
      </w:pPr>
      <w:r w:rsidRPr="00A7222E">
        <w:rPr>
          <w:lang w:val="en-GB"/>
        </w:rPr>
        <w:t>Transcriptome fact sheet:</w:t>
      </w:r>
    </w:p>
    <w:p w:rsidR="00A7222E" w:rsidRPr="00A7222E" w:rsidRDefault="009F0234" w:rsidP="00224080">
      <w:pPr>
        <w:spacing w:line="240" w:lineRule="auto"/>
        <w:rPr>
          <w:lang w:val="en-GB"/>
        </w:rPr>
      </w:pPr>
      <w:hyperlink r:id="rId28" w:history="1">
        <w:r w:rsidR="00A7222E" w:rsidRPr="00A7222E">
          <w:rPr>
            <w:rStyle w:val="Hyperlink"/>
            <w:lang w:val="en-GB"/>
          </w:rPr>
          <w:t>https://www.genome.gov/about-genomics/fact-sheets/Transcriptome-Fact-Sheet</w:t>
        </w:r>
      </w:hyperlink>
    </w:p>
    <w:p w:rsidR="00A7222E" w:rsidRPr="00A7222E" w:rsidRDefault="00A7222E" w:rsidP="00224080">
      <w:pPr>
        <w:spacing w:line="240" w:lineRule="auto"/>
        <w:rPr>
          <w:lang w:val="en-GB"/>
        </w:rPr>
      </w:pPr>
    </w:p>
    <w:p w:rsidR="00A7222E" w:rsidRPr="00A7222E" w:rsidRDefault="00A7222E" w:rsidP="00224080">
      <w:pPr>
        <w:spacing w:line="240" w:lineRule="auto"/>
        <w:rPr>
          <w:b/>
          <w:bCs/>
          <w:lang w:val="en-GB"/>
        </w:rPr>
      </w:pPr>
      <w:r w:rsidRPr="00A7222E">
        <w:rPr>
          <w:b/>
          <w:bCs/>
          <w:lang w:val="en-GB"/>
        </w:rPr>
        <w:t>Explanations of concepts related to 3) Protein</w:t>
      </w:r>
    </w:p>
    <w:p w:rsidR="00A7222E" w:rsidRPr="00A7222E" w:rsidRDefault="00A7222E" w:rsidP="00224080">
      <w:pPr>
        <w:spacing w:line="240" w:lineRule="auto"/>
        <w:rPr>
          <w:lang w:val="en-GB"/>
        </w:rPr>
      </w:pPr>
      <w:r w:rsidRPr="00A7222E">
        <w:rPr>
          <w:lang w:val="en-GB"/>
        </w:rPr>
        <w:t>What is proteomics?</w:t>
      </w:r>
    </w:p>
    <w:p w:rsidR="00A7222E" w:rsidRPr="00A7222E" w:rsidRDefault="00A7222E" w:rsidP="00224080">
      <w:pPr>
        <w:spacing w:line="240" w:lineRule="auto"/>
        <w:rPr>
          <w:lang w:val="en-GB"/>
        </w:rPr>
      </w:pPr>
      <w:hyperlink r:id="rId29" w:history="1">
        <w:r w:rsidRPr="00A7222E">
          <w:rPr>
            <w:rStyle w:val="Hyperlink"/>
            <w:lang w:val="en-GB"/>
          </w:rPr>
          <w:t>https://www.ebi.ac.uk/training/online/course/proteomics-introduction-ebi-resources/what-proteomics</w:t>
        </w:r>
      </w:hyperlink>
    </w:p>
    <w:p w:rsidR="00A7222E" w:rsidRPr="00A7222E" w:rsidRDefault="00A7222E" w:rsidP="00224080">
      <w:pPr>
        <w:spacing w:line="240" w:lineRule="auto"/>
        <w:rPr>
          <w:lang w:val="en-GB"/>
        </w:rPr>
      </w:pPr>
    </w:p>
    <w:p w:rsidR="00A7222E" w:rsidRPr="00A7222E" w:rsidRDefault="00A7222E" w:rsidP="00224080">
      <w:pPr>
        <w:spacing w:line="240" w:lineRule="auto"/>
        <w:rPr>
          <w:b/>
          <w:bCs/>
          <w:lang w:val="en-GB"/>
        </w:rPr>
      </w:pPr>
      <w:r w:rsidRPr="00A7222E">
        <w:rPr>
          <w:b/>
          <w:bCs/>
          <w:lang w:val="en-GB"/>
        </w:rPr>
        <w:t>Glossary:</w:t>
      </w:r>
    </w:p>
    <w:p w:rsidR="00A7222E" w:rsidRPr="00A7222E" w:rsidRDefault="009F0234" w:rsidP="00224080">
      <w:pPr>
        <w:spacing w:line="240" w:lineRule="auto"/>
        <w:rPr>
          <w:lang w:val="en-GB"/>
        </w:rPr>
      </w:pPr>
      <w:hyperlink r:id="rId30" w:history="1">
        <w:r w:rsidR="00A7222E" w:rsidRPr="00A7222E">
          <w:rPr>
            <w:rStyle w:val="Hyperlink"/>
            <w:lang w:val="en-GB"/>
          </w:rPr>
          <w:t>https://www.genome.gov/genetics-glossary</w:t>
        </w:r>
      </w:hyperlink>
    </w:p>
    <w:p w:rsidR="00A7222E" w:rsidRPr="00A7222E" w:rsidRDefault="00A7222E" w:rsidP="00224080">
      <w:pPr>
        <w:spacing w:line="240" w:lineRule="auto"/>
        <w:rPr>
          <w:lang w:val="en-GB"/>
        </w:rPr>
      </w:pPr>
    </w:p>
    <w:p w:rsidR="00A7222E" w:rsidRPr="00A7222E" w:rsidRDefault="00A7222E" w:rsidP="00224080">
      <w:pPr>
        <w:spacing w:line="240" w:lineRule="auto"/>
        <w:rPr>
          <w:b/>
          <w:bCs/>
          <w:lang w:val="en-GB"/>
        </w:rPr>
      </w:pPr>
      <w:r w:rsidRPr="00A7222E">
        <w:rPr>
          <w:b/>
          <w:bCs/>
          <w:lang w:val="en-GB"/>
        </w:rPr>
        <w:t>A few useful videos:</w:t>
      </w:r>
    </w:p>
    <w:p w:rsidR="00A7222E" w:rsidRPr="00A7222E" w:rsidRDefault="009F0234" w:rsidP="00224080">
      <w:pPr>
        <w:spacing w:line="240" w:lineRule="auto"/>
        <w:rPr>
          <w:u w:val="single"/>
          <w:lang w:val="en-GB"/>
        </w:rPr>
      </w:pPr>
      <w:hyperlink r:id="rId31">
        <w:r w:rsidR="00A7222E" w:rsidRPr="00A7222E">
          <w:rPr>
            <w:rStyle w:val="Hyperlink"/>
            <w:lang w:val="en-GB"/>
          </w:rPr>
          <w:t>https://www.youtube.com/playlist?list=PL1wN5MzqlxD3PxdkjbAH6Vc7zEP6t45MY</w:t>
        </w:r>
      </w:hyperlink>
    </w:p>
    <w:p w:rsidR="00A7222E" w:rsidRPr="00A7222E" w:rsidRDefault="00A7222E" w:rsidP="00224080">
      <w:pPr>
        <w:spacing w:line="240" w:lineRule="auto"/>
        <w:rPr>
          <w:u w:val="single"/>
          <w:lang w:val="en-GB"/>
        </w:rPr>
      </w:pPr>
    </w:p>
    <w:p w:rsidR="00A7222E" w:rsidRPr="00A7222E" w:rsidRDefault="00A7222E" w:rsidP="00224080">
      <w:pPr>
        <w:spacing w:line="240" w:lineRule="auto"/>
        <w:rPr>
          <w:b/>
          <w:bCs/>
          <w:lang w:val="en-GB"/>
        </w:rPr>
      </w:pPr>
      <w:r w:rsidRPr="00A7222E">
        <w:rPr>
          <w:b/>
          <w:bCs/>
          <w:lang w:val="en-GB"/>
        </w:rPr>
        <w:t>Methodological overview of all OMICs:</w:t>
      </w:r>
    </w:p>
    <w:p w:rsidR="00A7222E" w:rsidRPr="00A7222E" w:rsidRDefault="009F0234" w:rsidP="00224080">
      <w:pPr>
        <w:spacing w:line="240" w:lineRule="auto"/>
        <w:rPr>
          <w:u w:val="single"/>
          <w:lang w:val="en-GB"/>
        </w:rPr>
      </w:pPr>
      <w:hyperlink r:id="rId32">
        <w:r w:rsidR="00A7222E" w:rsidRPr="00A7222E">
          <w:rPr>
            <w:rStyle w:val="Hyperlink"/>
            <w:lang w:val="en-GB"/>
          </w:rPr>
          <w:t>https://onlinelibrary.wiley.com/doi/full/10.1002/em.21797</w:t>
        </w:r>
      </w:hyperlink>
    </w:p>
    <w:p w:rsidR="00AD3A65" w:rsidRDefault="00AD3A65">
      <w:pPr>
        <w:rPr>
          <w:lang w:val="en-GB"/>
        </w:rPr>
      </w:pPr>
    </w:p>
    <w:p w:rsidR="007D6965" w:rsidRPr="008400D0" w:rsidRDefault="008C4B7C">
      <w:pPr>
        <w:rPr>
          <w:lang w:val="en-GB"/>
        </w:rPr>
      </w:pPr>
      <w:r w:rsidRPr="008400D0">
        <w:rPr>
          <w:b/>
          <w:bCs/>
          <w:lang w:val="en-GB"/>
        </w:rPr>
        <w:t xml:space="preserve">For further reading see chapters 1 to 7 of </w:t>
      </w:r>
    </w:p>
    <w:p w:rsidR="00AC47B3" w:rsidRPr="00AC47B3" w:rsidRDefault="009F0234" w:rsidP="00AC47B3">
      <w:pPr>
        <w:rPr>
          <w:u w:val="single"/>
          <w:lang w:val="en-GB"/>
        </w:rPr>
      </w:pPr>
      <w:hyperlink r:id="rId33" w:tgtFrame="_blank" w:history="1">
        <w:r w:rsidR="00AC47B3" w:rsidRPr="00AC47B3">
          <w:rPr>
            <w:rStyle w:val="Hyperlink"/>
            <w:lang w:val="en-GB"/>
          </w:rPr>
          <w:t>https://link-springer-com.iclibezp1.cc.ic.ac.uk/book/10.1007%2F978-1-4419-7338-2</w:t>
        </w:r>
      </w:hyperlink>
    </w:p>
    <w:p w:rsidR="008C4B7C" w:rsidRPr="00AC47B3" w:rsidRDefault="008C4B7C">
      <w:pPr>
        <w:rPr>
          <w:b/>
          <w:bCs/>
          <w:u w:val="single"/>
          <w:lang w:val="en-GB"/>
        </w:rPr>
      </w:pPr>
    </w:p>
    <w:sectPr w:rsidR="008C4B7C" w:rsidRPr="00AC47B3">
      <w:headerReference w:type="default" r:id="rId34"/>
      <w:headerReference w:type="first" r:id="rId35"/>
      <w:footerReference w:type="first" r:id="rId36"/>
      <w:pgSz w:w="16838" w:h="23811"/>
      <w:pgMar w:top="566" w:right="566" w:bottom="566" w:left="566"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F0234" w:rsidRDefault="009F0234">
      <w:pPr>
        <w:spacing w:before="0" w:line="240" w:lineRule="auto"/>
      </w:pPr>
      <w:r>
        <w:separator/>
      </w:r>
    </w:p>
  </w:endnote>
  <w:endnote w:type="continuationSeparator" w:id="0">
    <w:p w:rsidR="009F0234" w:rsidRDefault="009F023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ato">
    <w:altName w:val="Segoe UI"/>
    <w:charset w:val="00"/>
    <w:family w:val="auto"/>
    <w:pitch w:val="default"/>
  </w:font>
  <w:font w:name="Playfair Display">
    <w:altName w:val="Calibri"/>
    <w:charset w:val="00"/>
    <w:family w:val="auto"/>
    <w:pitch w:val="default"/>
  </w:font>
  <w:font w:name="Trebuchet MS">
    <w:altName w:val="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D3A65" w:rsidRDefault="00AD3A65">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F0234" w:rsidRDefault="009F0234">
      <w:pPr>
        <w:spacing w:before="0" w:line="240" w:lineRule="auto"/>
      </w:pPr>
      <w:r>
        <w:separator/>
      </w:r>
    </w:p>
  </w:footnote>
  <w:footnote w:type="continuationSeparator" w:id="0">
    <w:p w:rsidR="009F0234" w:rsidRDefault="009F023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D3A65" w:rsidRDefault="00AD3A65">
    <w:pPr>
      <w:pBdr>
        <w:top w:val="nil"/>
        <w:left w:val="nil"/>
        <w:bottom w:val="nil"/>
        <w:right w:val="nil"/>
        <w:between w:val="nil"/>
      </w:pBdr>
      <w:spacing w:before="0" w:line="240" w:lineRule="auto"/>
      <w:rPr>
        <w:color w:val="B7B7B7"/>
        <w:sz w:val="12"/>
        <w:szCs w:val="12"/>
      </w:rPr>
    </w:pPr>
  </w:p>
  <w:tbl>
    <w:tblPr>
      <w:tblStyle w:val="a0"/>
      <w:tblW w:w="18011" w:type="dxa"/>
      <w:tblInd w:w="-1775" w:type="dxa"/>
      <w:tblLayout w:type="fixed"/>
      <w:tblLook w:val="0600" w:firstRow="0" w:lastRow="0" w:firstColumn="0" w:lastColumn="0" w:noHBand="1" w:noVBand="1"/>
    </w:tblPr>
    <w:tblGrid>
      <w:gridCol w:w="9013"/>
      <w:gridCol w:w="8998"/>
    </w:tblGrid>
    <w:tr w:rsidR="00AD3A65" w:rsidTr="009B7451">
      <w:trPr>
        <w:trHeight w:val="966"/>
      </w:trPr>
      <w:tc>
        <w:tcPr>
          <w:tcW w:w="9013" w:type="dxa"/>
          <w:tcBorders>
            <w:top w:val="single" w:sz="8" w:space="0" w:color="F75D5D"/>
            <w:left w:val="single" w:sz="8" w:space="0" w:color="F75D5D"/>
            <w:bottom w:val="single" w:sz="8" w:space="0" w:color="F75D5D"/>
            <w:right w:val="single" w:sz="8" w:space="0" w:color="F75D5D"/>
          </w:tcBorders>
          <w:shd w:val="clear" w:color="auto" w:fill="F75D5D"/>
          <w:tcMar>
            <w:top w:w="100" w:type="dxa"/>
            <w:left w:w="100" w:type="dxa"/>
            <w:bottom w:w="100" w:type="dxa"/>
            <w:right w:w="100" w:type="dxa"/>
          </w:tcMar>
          <w:vAlign w:val="center"/>
        </w:tcPr>
        <w:p w:rsidR="00AD3A65" w:rsidRDefault="00AD3A65">
          <w:pPr>
            <w:pStyle w:val="Subtitle"/>
            <w:pBdr>
              <w:top w:val="nil"/>
              <w:left w:val="nil"/>
              <w:bottom w:val="nil"/>
              <w:right w:val="nil"/>
              <w:between w:val="nil"/>
            </w:pBdr>
            <w:spacing w:before="0" w:line="240" w:lineRule="auto"/>
            <w:ind w:left="1710" w:right="0"/>
            <w:rPr>
              <w:color w:val="FFFFFF"/>
              <w:sz w:val="20"/>
              <w:szCs w:val="20"/>
            </w:rPr>
          </w:pPr>
          <w:bookmarkStart w:id="10" w:name="_5j58lbuh52rf" w:colFirst="0" w:colLast="0"/>
          <w:bookmarkEnd w:id="10"/>
        </w:p>
      </w:tc>
      <w:bookmarkStart w:id="11" w:name="_f5jbq7ljyseu" w:colFirst="0" w:colLast="0"/>
      <w:bookmarkEnd w:id="11"/>
      <w:tc>
        <w:tcPr>
          <w:tcW w:w="8998" w:type="dxa"/>
          <w:tcBorders>
            <w:top w:val="single" w:sz="8" w:space="0" w:color="F75D5D"/>
            <w:left w:val="single" w:sz="8" w:space="0" w:color="F75D5D"/>
            <w:bottom w:val="single" w:sz="8" w:space="0" w:color="F75D5D"/>
            <w:right w:val="single" w:sz="8" w:space="0" w:color="F75D5D"/>
          </w:tcBorders>
          <w:shd w:val="clear" w:color="auto" w:fill="F75D5D"/>
          <w:tcMar>
            <w:top w:w="100" w:type="dxa"/>
            <w:left w:w="100" w:type="dxa"/>
            <w:bottom w:w="100" w:type="dxa"/>
            <w:right w:w="100" w:type="dxa"/>
          </w:tcMar>
          <w:vAlign w:val="center"/>
        </w:tcPr>
        <w:p w:rsidR="00AD3A65" w:rsidRDefault="00ED1F13">
          <w:pPr>
            <w:pStyle w:val="Subtitle"/>
            <w:pBdr>
              <w:top w:val="nil"/>
              <w:left w:val="nil"/>
              <w:bottom w:val="nil"/>
              <w:right w:val="nil"/>
              <w:between w:val="nil"/>
            </w:pBdr>
            <w:spacing w:before="0" w:line="240" w:lineRule="auto"/>
            <w:ind w:right="0"/>
            <w:jc w:val="right"/>
            <w:rPr>
              <w:color w:val="FFFFFF"/>
              <w:sz w:val="20"/>
              <w:szCs w:val="20"/>
            </w:rPr>
          </w:pPr>
          <w:r>
            <w:rPr>
              <w:color w:val="FFFFFF"/>
              <w:sz w:val="20"/>
              <w:szCs w:val="20"/>
            </w:rPr>
            <w:fldChar w:fldCharType="begin"/>
          </w:r>
          <w:r>
            <w:rPr>
              <w:color w:val="FFFFFF"/>
              <w:sz w:val="20"/>
              <w:szCs w:val="20"/>
            </w:rPr>
            <w:instrText>PAGE</w:instrText>
          </w:r>
          <w:r>
            <w:rPr>
              <w:color w:val="FFFFFF"/>
              <w:sz w:val="20"/>
              <w:szCs w:val="20"/>
            </w:rPr>
            <w:fldChar w:fldCharType="separate"/>
          </w:r>
          <w:r w:rsidR="00A87F30">
            <w:rPr>
              <w:noProof/>
              <w:color w:val="FFFFFF"/>
              <w:sz w:val="20"/>
              <w:szCs w:val="20"/>
            </w:rPr>
            <w:t>2</w:t>
          </w:r>
          <w:r>
            <w:rPr>
              <w:color w:val="FFFFFF"/>
              <w:sz w:val="20"/>
              <w:szCs w:val="20"/>
            </w:rPr>
            <w:fldChar w:fldCharType="end"/>
          </w:r>
        </w:p>
      </w:tc>
    </w:tr>
  </w:tbl>
  <w:p w:rsidR="00AD3A65" w:rsidRDefault="00AD3A65">
    <w:pPr>
      <w:pBdr>
        <w:top w:val="nil"/>
        <w:left w:val="nil"/>
        <w:bottom w:val="nil"/>
        <w:right w:val="nil"/>
        <w:between w:val="nil"/>
      </w:pBdr>
      <w:spacing w:before="0" w:line="240" w:lineRule="aut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D3A65" w:rsidRDefault="00AD3A65">
    <w:pPr>
      <w:pBdr>
        <w:top w:val="nil"/>
        <w:left w:val="nil"/>
        <w:bottom w:val="nil"/>
        <w:right w:val="nil"/>
        <w:between w:val="nil"/>
      </w:pBdr>
    </w:pPr>
  </w:p>
  <w:p w:rsidR="00AD3A65" w:rsidRDefault="00AD3A65">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07544A"/>
    <w:multiLevelType w:val="hybridMultilevel"/>
    <w:tmpl w:val="39CA6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6F84E3C"/>
    <w:multiLevelType w:val="hybridMultilevel"/>
    <w:tmpl w:val="39CA6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A65"/>
    <w:rsid w:val="00107C67"/>
    <w:rsid w:val="00224080"/>
    <w:rsid w:val="0024597B"/>
    <w:rsid w:val="005649E8"/>
    <w:rsid w:val="006E2575"/>
    <w:rsid w:val="007D6965"/>
    <w:rsid w:val="008400D0"/>
    <w:rsid w:val="008C4B7C"/>
    <w:rsid w:val="009B7451"/>
    <w:rsid w:val="009F0234"/>
    <w:rsid w:val="00A7222E"/>
    <w:rsid w:val="00A87F30"/>
    <w:rsid w:val="00AC47B3"/>
    <w:rsid w:val="00AD3A65"/>
    <w:rsid w:val="00ED1F1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docId w15:val="{FE6BBC2D-965E-794A-8357-230C6A171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ato" w:eastAsia="Lato" w:hAnsi="Lato" w:cs="Lato"/>
        <w:color w:val="666666"/>
        <w:sz w:val="22"/>
        <w:szCs w:val="22"/>
        <w:lang w:val="en" w:eastAsia="zh-CN" w:bidi="ar-SA"/>
      </w:rPr>
    </w:rPrDefault>
    <w:pPrDefault>
      <w:pPr>
        <w:spacing w:before="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spacing w:before="480" w:line="240" w:lineRule="auto"/>
      <w:ind w:right="-30"/>
      <w:outlineLvl w:val="0"/>
    </w:pPr>
    <w:rPr>
      <w:rFonts w:ascii="Playfair Display" w:eastAsia="Playfair Display" w:hAnsi="Playfair Display" w:cs="Playfair Display"/>
      <w:b/>
      <w:color w:val="F75D5D"/>
      <w:sz w:val="32"/>
      <w:szCs w:val="32"/>
    </w:rPr>
  </w:style>
  <w:style w:type="paragraph" w:styleId="Heading2">
    <w:name w:val="heading 2"/>
    <w:basedOn w:val="Normal"/>
    <w:next w:val="Normal"/>
    <w:uiPriority w:val="9"/>
    <w:unhideWhenUsed/>
    <w:qFormat/>
    <w:pPr>
      <w:spacing w:before="200"/>
      <w:ind w:right="-30"/>
      <w:outlineLvl w:val="1"/>
    </w:pPr>
    <w:rPr>
      <w:rFonts w:ascii="Playfair Display" w:eastAsia="Playfair Display" w:hAnsi="Playfair Display" w:cs="Playfair Display"/>
      <w:b/>
      <w:color w:val="000000"/>
      <w:sz w:val="24"/>
      <w:szCs w:val="24"/>
    </w:rPr>
  </w:style>
  <w:style w:type="paragraph" w:styleId="Heading3">
    <w:name w:val="heading 3"/>
    <w:basedOn w:val="Normal"/>
    <w:next w:val="Normal"/>
    <w:uiPriority w:val="9"/>
    <w:semiHidden/>
    <w:unhideWhenUsed/>
    <w:qFormat/>
    <w:pPr>
      <w:spacing w:before="200"/>
      <w:ind w:right="-30"/>
      <w:outlineLvl w:val="2"/>
    </w:pPr>
    <w:rPr>
      <w:b/>
      <w:color w:val="000000"/>
      <w:sz w:val="24"/>
      <w:szCs w:val="24"/>
    </w:rPr>
  </w:style>
  <w:style w:type="paragraph" w:styleId="Heading4">
    <w:name w:val="heading 4"/>
    <w:basedOn w:val="Normal"/>
    <w:next w:val="Normal"/>
    <w:uiPriority w:val="9"/>
    <w:semiHidden/>
    <w:unhideWhenUsed/>
    <w:qFormat/>
    <w:pPr>
      <w:outlineLvl w:val="3"/>
    </w:pPr>
    <w:rPr>
      <w:b/>
      <w:color w:val="00000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100" w:line="240" w:lineRule="auto"/>
      <w:ind w:right="-30"/>
    </w:pPr>
    <w:rPr>
      <w:rFonts w:ascii="Playfair Display" w:eastAsia="Playfair Display" w:hAnsi="Playfair Display" w:cs="Playfair Display"/>
      <w:b/>
      <w:color w:val="F75D5D"/>
      <w:sz w:val="72"/>
      <w:szCs w:val="72"/>
    </w:rPr>
  </w:style>
  <w:style w:type="paragraph" w:styleId="Subtitle">
    <w:name w:val="Subtitle"/>
    <w:basedOn w:val="Normal"/>
    <w:next w:val="Normal"/>
    <w:uiPriority w:val="11"/>
    <w:qFormat/>
    <w:pPr>
      <w:spacing w:before="200"/>
      <w:ind w:right="-30"/>
    </w:pPr>
    <w:rPr>
      <w:b/>
      <w:color w:val="000000"/>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A87F30"/>
    <w:pPr>
      <w:spacing w:before="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87F30"/>
    <w:rPr>
      <w:rFonts w:ascii="Times New Roman" w:hAnsi="Times New Roman" w:cs="Times New Roman"/>
      <w:sz w:val="18"/>
      <w:szCs w:val="18"/>
    </w:rPr>
  </w:style>
  <w:style w:type="paragraph" w:styleId="Header">
    <w:name w:val="header"/>
    <w:basedOn w:val="Normal"/>
    <w:link w:val="HeaderChar"/>
    <w:uiPriority w:val="99"/>
    <w:unhideWhenUsed/>
    <w:rsid w:val="009B7451"/>
    <w:pPr>
      <w:tabs>
        <w:tab w:val="center" w:pos="4513"/>
        <w:tab w:val="right" w:pos="9026"/>
      </w:tabs>
      <w:spacing w:before="0" w:line="240" w:lineRule="auto"/>
    </w:pPr>
  </w:style>
  <w:style w:type="character" w:customStyle="1" w:styleId="HeaderChar">
    <w:name w:val="Header Char"/>
    <w:basedOn w:val="DefaultParagraphFont"/>
    <w:link w:val="Header"/>
    <w:uiPriority w:val="99"/>
    <w:rsid w:val="009B7451"/>
  </w:style>
  <w:style w:type="paragraph" w:styleId="Footer">
    <w:name w:val="footer"/>
    <w:basedOn w:val="Normal"/>
    <w:link w:val="FooterChar"/>
    <w:uiPriority w:val="99"/>
    <w:unhideWhenUsed/>
    <w:rsid w:val="009B7451"/>
    <w:pPr>
      <w:tabs>
        <w:tab w:val="center" w:pos="4513"/>
        <w:tab w:val="right" w:pos="9026"/>
      </w:tabs>
      <w:spacing w:before="0" w:line="240" w:lineRule="auto"/>
    </w:pPr>
  </w:style>
  <w:style w:type="character" w:customStyle="1" w:styleId="FooterChar">
    <w:name w:val="Footer Char"/>
    <w:basedOn w:val="DefaultParagraphFont"/>
    <w:link w:val="Footer"/>
    <w:uiPriority w:val="99"/>
    <w:rsid w:val="009B7451"/>
  </w:style>
  <w:style w:type="character" w:styleId="Hyperlink">
    <w:name w:val="Hyperlink"/>
    <w:basedOn w:val="DefaultParagraphFont"/>
    <w:uiPriority w:val="99"/>
    <w:unhideWhenUsed/>
    <w:rsid w:val="005649E8"/>
    <w:rPr>
      <w:color w:val="0000FF" w:themeColor="hyperlink"/>
      <w:u w:val="single"/>
    </w:rPr>
  </w:style>
  <w:style w:type="character" w:styleId="UnresolvedMention">
    <w:name w:val="Unresolved Mention"/>
    <w:basedOn w:val="DefaultParagraphFont"/>
    <w:uiPriority w:val="99"/>
    <w:semiHidden/>
    <w:unhideWhenUsed/>
    <w:rsid w:val="005649E8"/>
    <w:rPr>
      <w:color w:val="605E5C"/>
      <w:shd w:val="clear" w:color="auto" w:fill="E1DFDD"/>
    </w:rPr>
  </w:style>
  <w:style w:type="character" w:styleId="FollowedHyperlink">
    <w:name w:val="FollowedHyperlink"/>
    <w:basedOn w:val="DefaultParagraphFont"/>
    <w:uiPriority w:val="99"/>
    <w:semiHidden/>
    <w:unhideWhenUsed/>
    <w:rsid w:val="005649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5558491">
      <w:bodyDiv w:val="1"/>
      <w:marLeft w:val="0"/>
      <w:marRight w:val="0"/>
      <w:marTop w:val="0"/>
      <w:marBottom w:val="0"/>
      <w:divBdr>
        <w:top w:val="none" w:sz="0" w:space="0" w:color="auto"/>
        <w:left w:val="none" w:sz="0" w:space="0" w:color="auto"/>
        <w:bottom w:val="none" w:sz="0" w:space="0" w:color="auto"/>
        <w:right w:val="none" w:sz="0" w:space="0" w:color="auto"/>
      </w:divBdr>
    </w:div>
    <w:div w:id="1229270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genome.gov/About-Genomics/Introduction-to-Genomics" TargetMode="External"/><Relationship Id="rId26" Type="http://schemas.openxmlformats.org/officeDocument/2006/relationships/hyperlink" Target="https://www.ebi.ac.uk/training-beta/online/courses/human-genetic-variation-introduction/what-is-genetic-variation/types-of-genetic-variation/" TargetMode="External"/><Relationship Id="rId21" Type="http://schemas.openxmlformats.org/officeDocument/2006/relationships/hyperlink" Target="https://www.genome.gov/about-genomics/fact-sheets/Genome-Wide-Association-Studies-Fact-Sheet"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metabolomexchange.org/site/" TargetMode="External"/><Relationship Id="rId25" Type="http://schemas.openxmlformats.org/officeDocument/2006/relationships/hyperlink" Target="https://link.springer.com/referenceworkentry/10.1007%2F978-3-642-16483-5_3368" TargetMode="External"/><Relationship Id="rId33" Type="http://schemas.openxmlformats.org/officeDocument/2006/relationships/hyperlink" Target="https://link-springer-com.iclibezp1.cc.ic.ac.uk/book/10.1007%2F978-1-4419-7338-2"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kaggle.com/piotrgrabo/breastcancerproteomes" TargetMode="External"/><Relationship Id="rId20" Type="http://schemas.openxmlformats.org/officeDocument/2006/relationships/hyperlink" Target="https://www.genome.gov/about-genomics/fact-sheets/DNA-Microarray-Technology" TargetMode="External"/><Relationship Id="rId29" Type="http://schemas.openxmlformats.org/officeDocument/2006/relationships/hyperlink" Target="https://www.ebi.ac.uk/training/online/course/proteomics-introduction-ebi-resources/what-proteomic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nature.com/articles/d42473-019-00270-w" TargetMode="External"/><Relationship Id="rId32" Type="http://schemas.openxmlformats.org/officeDocument/2006/relationships/hyperlink" Target="https://onlinelibrary.wiley.com/doi/full/10.1002/em.21797"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ebi.ac.uk/gwas/" TargetMode="External"/><Relationship Id="rId28" Type="http://schemas.openxmlformats.org/officeDocument/2006/relationships/hyperlink" Target="https://www.genome.gov/about-genomics/fact-sheets/Transcriptome-Fact-Sheet"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genome.gov/about-genomics/fact-sheets/DNA-Sequencing-Fact-Sheet" TargetMode="External"/><Relationship Id="rId31" Type="http://schemas.openxmlformats.org/officeDocument/2006/relationships/hyperlink" Target="https://www.youtube.com/playlist?list=PL1wN5MzqlxD3PxdkjbAH6Vc7zEP6t45M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nlinelibrary.wiley.com/doi/full/10.1002/em.21797" TargetMode="External"/><Relationship Id="rId22" Type="http://schemas.openxmlformats.org/officeDocument/2006/relationships/hyperlink" Target="https://www.ncbi.nlm.nih.gov/pmc/articles/PMC3531285/" TargetMode="External"/><Relationship Id="rId27" Type="http://schemas.openxmlformats.org/officeDocument/2006/relationships/hyperlink" Target="https://www.youtube.com/watch?v=xPkOAnK20kw" TargetMode="External"/><Relationship Id="rId30" Type="http://schemas.openxmlformats.org/officeDocument/2006/relationships/hyperlink" Target="https://www.genome.gov/genetics-glossary"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0267F-1822-9F49-A59C-7AFE2D972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2054</Words>
  <Characters>11710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Tang, Sonja</cp:lastModifiedBy>
  <cp:revision>2</cp:revision>
  <dcterms:created xsi:type="dcterms:W3CDTF">2020-12-02T14:22:00Z</dcterms:created>
  <dcterms:modified xsi:type="dcterms:W3CDTF">2020-12-02T14:22:00Z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http://www.zotero.org/styles/elsevier-harvard</vt:lpwstr>
  </property>
  <property fmtid="{D5CDD505-2E9C-101B-9397-08002B2CF9AE}" pid="11" name="Mendeley Recent Style Name 4_1">
    <vt:lpwstr>Elsevier - Harvard (with titles)</vt:lpwstr>
  </property>
  <property fmtid="{D5CDD505-2E9C-101B-9397-08002B2CF9AE}" pid="12" name="Mendeley Recent Style Id 5_1">
    <vt:lpwstr>http://www.zotero.org/styles/elsevier-vancouver</vt:lpwstr>
  </property>
  <property fmtid="{D5CDD505-2E9C-101B-9397-08002B2CF9AE}" pid="13" name="Mendeley Recent Style Name 5_1">
    <vt:lpwstr>Elsevier - Vancouver</vt:lpwstr>
  </property>
  <property fmtid="{D5CDD505-2E9C-101B-9397-08002B2CF9AE}" pid="14" name="Mendeley Recent Style Id 6_1">
    <vt:lpwstr>http://www.zotero.org/styles/harvard-kings-college-london</vt:lpwstr>
  </property>
  <property fmtid="{D5CDD505-2E9C-101B-9397-08002B2CF9AE}" pid="15" name="Mendeley Recent Style Name 6_1">
    <vt:lpwstr>King's College London - Harvard</vt:lpwstr>
  </property>
  <property fmtid="{D5CDD505-2E9C-101B-9397-08002B2CF9AE}" pid="16" name="Mendeley Recent Style Id 7_1">
    <vt:lpwstr>http://www.zotero.org/styles/nature-publishing-group-vancouver</vt:lpwstr>
  </property>
  <property fmtid="{D5CDD505-2E9C-101B-9397-08002B2CF9AE}" pid="17" name="Mendeley Recent Style Name 7_1">
    <vt:lpwstr>Nature Publishing Group - Vancouver</vt:lpwstr>
  </property>
  <property fmtid="{D5CDD505-2E9C-101B-9397-08002B2CF9AE}" pid="18" name="Mendeley Recent Style Id 8_1">
    <vt:lpwstr>http://www.zotero.org/styles/plos-medicine</vt:lpwstr>
  </property>
  <property fmtid="{D5CDD505-2E9C-101B-9397-08002B2CF9AE}" pid="19" name="Mendeley Recent Style Name 8_1">
    <vt:lpwstr>PLOS Medicine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